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F82" w:rsidRDefault="008E0F82" w:rsidP="008E0F82">
      <w:pPr>
        <w:pStyle w:val="Heading1"/>
        <w:numPr>
          <w:ilvl w:val="0"/>
          <w:numId w:val="2"/>
        </w:numPr>
        <w:spacing w:after="180"/>
        <w:jc w:val="left"/>
        <w:rPr>
          <w:rFonts w:ascii="Verdana" w:hAnsi="Verdana"/>
          <w:bCs w:val="0"/>
          <w:sz w:val="32"/>
          <w:szCs w:val="32"/>
          <w:lang w:val="en-US"/>
        </w:rPr>
      </w:pPr>
      <w:bookmarkStart w:id="0" w:name="_Toc467842397"/>
      <w:r w:rsidRPr="001D0A93">
        <w:rPr>
          <w:rFonts w:ascii="Verdana" w:hAnsi="Verdana"/>
          <w:bCs w:val="0"/>
          <w:sz w:val="32"/>
          <w:szCs w:val="32"/>
          <w:lang w:val="en-US"/>
        </w:rPr>
        <w:t xml:space="preserve">FINANCIAL MANAGEMENT </w:t>
      </w:r>
      <w:bookmarkEnd w:id="0"/>
      <w:r w:rsidR="00D30A06">
        <w:rPr>
          <w:rFonts w:ascii="Verdana" w:hAnsi="Verdana"/>
          <w:bCs w:val="0"/>
          <w:sz w:val="32"/>
          <w:szCs w:val="32"/>
          <w:lang w:val="en-US"/>
        </w:rPr>
        <w:t>CHAPTER</w:t>
      </w:r>
    </w:p>
    <w:p w:rsidR="008E0F82" w:rsidRPr="008F2B55" w:rsidRDefault="008E0F82" w:rsidP="008E0F82">
      <w:pPr>
        <w:rPr>
          <w:sz w:val="20"/>
          <w:szCs w:val="20"/>
          <w:lang w:val="en-US"/>
        </w:rPr>
      </w:pPr>
    </w:p>
    <w:p w:rsidR="008E0F82" w:rsidRPr="00A31EEB" w:rsidRDefault="008E0F82" w:rsidP="008E0F82">
      <w:pPr>
        <w:pStyle w:val="Heading2"/>
        <w:numPr>
          <w:ilvl w:val="1"/>
          <w:numId w:val="3"/>
        </w:numPr>
        <w:spacing w:after="180"/>
        <w:ind w:left="426" w:hanging="426"/>
        <w:rPr>
          <w:rFonts w:ascii="Verdana" w:hAnsi="Verdana"/>
          <w:color w:val="000000"/>
        </w:rPr>
      </w:pPr>
      <w:bookmarkStart w:id="1" w:name="_Toc467842398"/>
      <w:r w:rsidRPr="00A31EEB">
        <w:rPr>
          <w:rFonts w:ascii="Verdana" w:hAnsi="Verdana"/>
          <w:color w:val="000000"/>
        </w:rPr>
        <w:t>General</w:t>
      </w:r>
      <w:bookmarkEnd w:id="1"/>
    </w:p>
    <w:p w:rsidR="008E0F82" w:rsidRPr="00A31EEB" w:rsidRDefault="00D30A06" w:rsidP="00F70AC7">
      <w:pPr>
        <w:autoSpaceDE w:val="0"/>
        <w:autoSpaceDN w:val="0"/>
        <w:adjustRightInd w:val="0"/>
        <w:spacing w:after="120"/>
        <w:ind w:left="11"/>
        <w:jc w:val="both"/>
        <w:rPr>
          <w:rFonts w:ascii="Verdana" w:hAnsi="Verdana"/>
          <w:bCs/>
          <w:color w:val="000000"/>
          <w:sz w:val="20"/>
          <w:szCs w:val="20"/>
        </w:rPr>
      </w:pPr>
      <w:r>
        <w:rPr>
          <w:rFonts w:ascii="Verdana" w:hAnsi="Verdana"/>
          <w:bCs/>
          <w:color w:val="000000"/>
          <w:sz w:val="20"/>
          <w:szCs w:val="20"/>
        </w:rPr>
        <w:t>(Implementing agency)</w:t>
      </w:r>
      <w:r w:rsidR="008E0F82" w:rsidRPr="00A31EEB">
        <w:rPr>
          <w:rFonts w:ascii="Verdana" w:hAnsi="Verdana"/>
          <w:bCs/>
          <w:color w:val="000000"/>
          <w:sz w:val="20"/>
          <w:szCs w:val="20"/>
        </w:rPr>
        <w:t xml:space="preserve"> will be responsible for financial management and disbursement during project implementation, including planning, budgeting, accounting, financial reporting, funds flow, internal controls and auditing. Given that </w:t>
      </w:r>
      <w:r>
        <w:rPr>
          <w:rFonts w:ascii="Verdana" w:hAnsi="Verdana"/>
          <w:color w:val="000000"/>
          <w:sz w:val="20"/>
          <w:szCs w:val="20"/>
        </w:rPr>
        <w:t>(IMPLEMENTING AGENCY)</w:t>
      </w:r>
      <w:r w:rsidR="008E0F82" w:rsidRPr="00A31EEB">
        <w:rPr>
          <w:rFonts w:ascii="Verdana" w:hAnsi="Verdana"/>
          <w:bCs/>
          <w:color w:val="000000"/>
          <w:sz w:val="20"/>
          <w:szCs w:val="20"/>
        </w:rPr>
        <w:t xml:space="preserve"> does not have prior experience in the implementation of World Bank financed projects,</w:t>
      </w:r>
      <w:r w:rsidR="008E0F82">
        <w:rPr>
          <w:rFonts w:ascii="Verdana" w:hAnsi="Verdana"/>
          <w:bCs/>
          <w:color w:val="000000"/>
          <w:sz w:val="20"/>
          <w:szCs w:val="20"/>
        </w:rPr>
        <w:t xml:space="preserve"> an experienced Financial Management</w:t>
      </w:r>
      <w:r w:rsidR="008E0F82" w:rsidRPr="00A31EEB">
        <w:rPr>
          <w:rFonts w:ascii="Verdana" w:hAnsi="Verdana"/>
          <w:bCs/>
          <w:color w:val="000000"/>
          <w:sz w:val="20"/>
          <w:szCs w:val="20"/>
        </w:rPr>
        <w:t xml:space="preserve"> consultant will be hired under the PIU responsible for the FM arrangements under the Pro</w:t>
      </w:r>
      <w:r w:rsidR="008E0F82">
        <w:rPr>
          <w:rFonts w:ascii="Verdana" w:hAnsi="Verdana"/>
          <w:bCs/>
          <w:color w:val="000000"/>
          <w:sz w:val="20"/>
          <w:szCs w:val="20"/>
        </w:rPr>
        <w:t>ject. It is expected that the Financial Management</w:t>
      </w:r>
      <w:r w:rsidR="008E0F82" w:rsidRPr="00A31EEB">
        <w:rPr>
          <w:rFonts w:ascii="Verdana" w:hAnsi="Verdana"/>
          <w:bCs/>
          <w:color w:val="000000"/>
          <w:sz w:val="20"/>
          <w:szCs w:val="20"/>
        </w:rPr>
        <w:t xml:space="preserve"> spe</w:t>
      </w:r>
      <w:r w:rsidR="008E0F82">
        <w:rPr>
          <w:rFonts w:ascii="Verdana" w:hAnsi="Verdana"/>
          <w:bCs/>
          <w:color w:val="000000"/>
          <w:sz w:val="20"/>
          <w:szCs w:val="20"/>
        </w:rPr>
        <w:t>cialist will need additional tr</w:t>
      </w:r>
      <w:r w:rsidR="008E0F82" w:rsidRPr="00A31EEB">
        <w:rPr>
          <w:rFonts w:ascii="Verdana" w:hAnsi="Verdana"/>
          <w:bCs/>
          <w:color w:val="000000"/>
          <w:sz w:val="20"/>
          <w:szCs w:val="20"/>
        </w:rPr>
        <w:t>a</w:t>
      </w:r>
      <w:r w:rsidR="008E0F82">
        <w:rPr>
          <w:rFonts w:ascii="Verdana" w:hAnsi="Verdana"/>
          <w:bCs/>
          <w:color w:val="000000"/>
          <w:sz w:val="20"/>
          <w:szCs w:val="20"/>
        </w:rPr>
        <w:t>i</w:t>
      </w:r>
      <w:r w:rsidR="008E0F82" w:rsidRPr="00A31EEB">
        <w:rPr>
          <w:rFonts w:ascii="Verdana" w:hAnsi="Verdana"/>
          <w:bCs/>
          <w:color w:val="000000"/>
          <w:sz w:val="20"/>
          <w:szCs w:val="20"/>
        </w:rPr>
        <w:t xml:space="preserve">ning on World Bank policies and procedures, as well as additional implementation support after project effectiveness. </w:t>
      </w:r>
    </w:p>
    <w:p w:rsidR="008E0F82" w:rsidRPr="00A31EEB" w:rsidRDefault="008E0F82" w:rsidP="00F70AC7">
      <w:pPr>
        <w:tabs>
          <w:tab w:val="left" w:pos="720"/>
        </w:tabs>
        <w:autoSpaceDE w:val="0"/>
        <w:autoSpaceDN w:val="0"/>
        <w:adjustRightInd w:val="0"/>
        <w:spacing w:after="60" w:line="240" w:lineRule="atLeast"/>
        <w:jc w:val="both"/>
        <w:rPr>
          <w:rFonts w:ascii="Verdana" w:hAnsi="Verdana"/>
          <w:color w:val="000000"/>
          <w:sz w:val="20"/>
          <w:szCs w:val="20"/>
        </w:rPr>
      </w:pPr>
      <w:r>
        <w:rPr>
          <w:rFonts w:ascii="Verdana" w:hAnsi="Verdana"/>
          <w:b/>
          <w:color w:val="000000"/>
          <w:sz w:val="20"/>
          <w:szCs w:val="20"/>
        </w:rPr>
        <w:t>Budgeting and P</w:t>
      </w:r>
      <w:r w:rsidRPr="00A31EEB">
        <w:rPr>
          <w:rFonts w:ascii="Verdana" w:hAnsi="Verdana"/>
          <w:b/>
          <w:color w:val="000000"/>
          <w:sz w:val="20"/>
          <w:szCs w:val="20"/>
        </w:rPr>
        <w:t>lanning</w:t>
      </w:r>
    </w:p>
    <w:p w:rsidR="008E0F82" w:rsidRPr="00A31EEB" w:rsidRDefault="008E0F82" w:rsidP="00F70AC7">
      <w:pPr>
        <w:tabs>
          <w:tab w:val="left" w:pos="720"/>
        </w:tabs>
        <w:autoSpaceDE w:val="0"/>
        <w:autoSpaceDN w:val="0"/>
        <w:adjustRightInd w:val="0"/>
        <w:spacing w:after="120" w:line="240" w:lineRule="atLeast"/>
        <w:jc w:val="both"/>
        <w:rPr>
          <w:rFonts w:ascii="Verdana" w:hAnsi="Verdana"/>
          <w:color w:val="000000"/>
          <w:sz w:val="20"/>
          <w:szCs w:val="20"/>
        </w:rPr>
      </w:pPr>
      <w:r w:rsidRPr="00A31EEB">
        <w:rPr>
          <w:rFonts w:ascii="Verdana" w:hAnsi="Verdana"/>
          <w:color w:val="000000"/>
          <w:sz w:val="20"/>
          <w:szCs w:val="20"/>
        </w:rPr>
        <w:t xml:space="preserve">Under the project, an annual work program and budget will be prepared by the PIU, reviewed and approved by the Project Director, and submitted for Bank’s no objection and for approval by the </w:t>
      </w:r>
      <w:r>
        <w:rPr>
          <w:rFonts w:ascii="Verdana" w:hAnsi="Verdana"/>
          <w:color w:val="000000"/>
          <w:sz w:val="20"/>
          <w:szCs w:val="20"/>
        </w:rPr>
        <w:t>Inter-Ministerial Coordination Council</w:t>
      </w:r>
      <w:r w:rsidRPr="00A31EEB">
        <w:rPr>
          <w:rFonts w:ascii="Verdana" w:hAnsi="Verdana"/>
          <w:color w:val="000000"/>
          <w:sz w:val="20"/>
          <w:szCs w:val="20"/>
        </w:rPr>
        <w:t xml:space="preserve">. The project budgets will be prepared based on the Procurement Plan, budgeted operating expenditures and disbursement estimates. All changes to the procurement plan will require review by the Project Director and approval of the World Bank and the </w:t>
      </w:r>
      <w:r>
        <w:rPr>
          <w:rFonts w:ascii="Verdana" w:hAnsi="Verdana"/>
          <w:color w:val="000000"/>
          <w:sz w:val="20"/>
          <w:szCs w:val="20"/>
        </w:rPr>
        <w:t>Inter-Ministerial Coordination Council</w:t>
      </w:r>
      <w:r w:rsidRPr="00A31EEB">
        <w:rPr>
          <w:rFonts w:ascii="Verdana" w:hAnsi="Verdana"/>
          <w:color w:val="000000"/>
          <w:sz w:val="20"/>
          <w:szCs w:val="20"/>
        </w:rPr>
        <w:t>. The budget will form the basis for allocating funds to project activities and will be prepared according to the IFR format (disbursement categories, components and activities, account codes and broken down by quarters). The overall estimated disbursement for the five year project duration is as follows:</w:t>
      </w:r>
    </w:p>
    <w:tbl>
      <w:tblPr>
        <w:tblW w:w="945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1754"/>
        <w:gridCol w:w="1361"/>
        <w:gridCol w:w="1440"/>
        <w:gridCol w:w="1655"/>
        <w:gridCol w:w="1620"/>
        <w:gridCol w:w="1620"/>
      </w:tblGrid>
      <w:tr w:rsidR="008E0F82" w:rsidRPr="001C521B" w:rsidTr="00F70AC7">
        <w:tc>
          <w:tcPr>
            <w:tcW w:w="17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both"/>
              <w:rPr>
                <w:rFonts w:ascii="Verdana" w:hAnsi="Verdana"/>
                <w:b/>
                <w:bCs/>
                <w:color w:val="000000"/>
                <w:sz w:val="20"/>
                <w:szCs w:val="20"/>
              </w:rPr>
            </w:pPr>
            <w:r w:rsidRPr="00F70AC7">
              <w:rPr>
                <w:rFonts w:ascii="Verdana" w:hAnsi="Verdana"/>
                <w:b/>
                <w:bCs/>
                <w:color w:val="000000"/>
                <w:sz w:val="20"/>
                <w:szCs w:val="20"/>
              </w:rPr>
              <w:t>Fiscal Year</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center"/>
              <w:rPr>
                <w:rFonts w:ascii="Verdana" w:hAnsi="Verdana"/>
                <w:b/>
                <w:bCs/>
                <w:color w:val="000000"/>
                <w:sz w:val="20"/>
                <w:szCs w:val="20"/>
              </w:rPr>
            </w:pPr>
            <w:r w:rsidRPr="00F70AC7">
              <w:rPr>
                <w:rFonts w:ascii="Verdana" w:hAnsi="Verdana"/>
                <w:b/>
                <w:bCs/>
                <w:color w:val="000000"/>
                <w:sz w:val="20"/>
                <w:szCs w:val="20"/>
              </w:rPr>
              <w:t>2017</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center"/>
              <w:rPr>
                <w:rFonts w:ascii="Verdana" w:hAnsi="Verdana"/>
                <w:b/>
                <w:bCs/>
                <w:color w:val="000000"/>
                <w:sz w:val="20"/>
                <w:szCs w:val="20"/>
              </w:rPr>
            </w:pPr>
            <w:r w:rsidRPr="00F70AC7">
              <w:rPr>
                <w:rFonts w:ascii="Verdana" w:hAnsi="Verdana"/>
                <w:b/>
                <w:bCs/>
                <w:color w:val="000000"/>
                <w:sz w:val="20"/>
                <w:szCs w:val="20"/>
              </w:rPr>
              <w:t>2018</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center"/>
              <w:rPr>
                <w:rFonts w:ascii="Verdana" w:hAnsi="Verdana"/>
                <w:b/>
                <w:bCs/>
                <w:color w:val="000000"/>
                <w:sz w:val="20"/>
                <w:szCs w:val="20"/>
              </w:rPr>
            </w:pPr>
            <w:r w:rsidRPr="00F70AC7">
              <w:rPr>
                <w:rFonts w:ascii="Verdana" w:hAnsi="Verdana"/>
                <w:b/>
                <w:bCs/>
                <w:color w:val="000000"/>
                <w:sz w:val="20"/>
                <w:szCs w:val="20"/>
              </w:rPr>
              <w:t>2019</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center"/>
              <w:rPr>
                <w:rFonts w:ascii="Verdana" w:hAnsi="Verdana"/>
                <w:b/>
                <w:bCs/>
                <w:color w:val="000000"/>
                <w:sz w:val="20"/>
                <w:szCs w:val="20"/>
              </w:rPr>
            </w:pPr>
            <w:r w:rsidRPr="00F70AC7">
              <w:rPr>
                <w:rFonts w:ascii="Verdana" w:hAnsi="Verdana"/>
                <w:b/>
                <w:bCs/>
                <w:color w:val="000000"/>
                <w:sz w:val="20"/>
                <w:szCs w:val="20"/>
              </w:rPr>
              <w:t>2020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F70AC7" w:rsidRDefault="008E0F82" w:rsidP="00F70AC7">
            <w:pPr>
              <w:jc w:val="center"/>
              <w:rPr>
                <w:rFonts w:ascii="Verdana" w:hAnsi="Verdana"/>
                <w:b/>
                <w:bCs/>
                <w:color w:val="000000"/>
                <w:sz w:val="20"/>
                <w:szCs w:val="20"/>
              </w:rPr>
            </w:pPr>
            <w:r w:rsidRPr="00F70AC7">
              <w:rPr>
                <w:rFonts w:ascii="Verdana" w:hAnsi="Verdana"/>
                <w:b/>
                <w:bCs/>
                <w:color w:val="000000"/>
                <w:sz w:val="20"/>
                <w:szCs w:val="20"/>
              </w:rPr>
              <w:t>2021</w:t>
            </w:r>
          </w:p>
        </w:tc>
      </w:tr>
      <w:tr w:rsidR="008E0F82" w:rsidRPr="001C521B" w:rsidTr="00F70AC7">
        <w:tc>
          <w:tcPr>
            <w:tcW w:w="17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r w:rsidRPr="001C521B">
              <w:rPr>
                <w:rFonts w:ascii="Verdana" w:hAnsi="Verdana"/>
                <w:color w:val="000000"/>
                <w:sz w:val="20"/>
                <w:szCs w:val="20"/>
              </w:rPr>
              <w:t>Annual</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r>
      <w:tr w:rsidR="008E0F82" w:rsidRPr="00A31EEB" w:rsidTr="00F70AC7">
        <w:tc>
          <w:tcPr>
            <w:tcW w:w="1754"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r w:rsidRPr="001C521B">
              <w:rPr>
                <w:rFonts w:ascii="Verdana" w:hAnsi="Verdana"/>
                <w:color w:val="000000"/>
                <w:sz w:val="20"/>
                <w:szCs w:val="20"/>
              </w:rPr>
              <w:t>Cumulative</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55"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1C521B" w:rsidRDefault="008E0F82" w:rsidP="00F70AC7">
            <w:pPr>
              <w:jc w:val="both"/>
              <w:rPr>
                <w:rFonts w:ascii="Verdana" w:hAnsi="Verdana"/>
                <w:color w:val="000000"/>
                <w:sz w:val="20"/>
                <w:szCs w:val="20"/>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50" w:type="dxa"/>
              <w:left w:w="50" w:type="dxa"/>
              <w:bottom w:w="50" w:type="dxa"/>
              <w:right w:w="50" w:type="dxa"/>
            </w:tcMar>
          </w:tcPr>
          <w:p w:rsidR="008E0F82" w:rsidRPr="00A31EEB" w:rsidRDefault="008E0F82" w:rsidP="00F70AC7">
            <w:pPr>
              <w:jc w:val="both"/>
              <w:rPr>
                <w:rFonts w:ascii="Verdana" w:hAnsi="Verdana"/>
                <w:color w:val="000000"/>
                <w:sz w:val="20"/>
                <w:szCs w:val="20"/>
              </w:rPr>
            </w:pPr>
            <w:bookmarkStart w:id="2" w:name="_GoBack"/>
            <w:bookmarkEnd w:id="2"/>
          </w:p>
        </w:tc>
      </w:tr>
    </w:tbl>
    <w:p w:rsidR="008E0F82" w:rsidRPr="001C521B" w:rsidRDefault="008E0F82" w:rsidP="00F70AC7">
      <w:pPr>
        <w:tabs>
          <w:tab w:val="left" w:pos="720"/>
        </w:tabs>
        <w:autoSpaceDE w:val="0"/>
        <w:autoSpaceDN w:val="0"/>
        <w:adjustRightInd w:val="0"/>
        <w:spacing w:line="240" w:lineRule="atLeast"/>
        <w:jc w:val="both"/>
        <w:rPr>
          <w:rFonts w:ascii="Verdana" w:hAnsi="Verdana"/>
          <w:b/>
          <w:color w:val="000000"/>
          <w:sz w:val="8"/>
          <w:szCs w:val="8"/>
        </w:rPr>
      </w:pPr>
    </w:p>
    <w:p w:rsidR="008E0F82" w:rsidRPr="00A31EEB" w:rsidRDefault="008E0F82" w:rsidP="00F70AC7">
      <w:pPr>
        <w:tabs>
          <w:tab w:val="left" w:pos="720"/>
        </w:tabs>
        <w:autoSpaceDE w:val="0"/>
        <w:autoSpaceDN w:val="0"/>
        <w:adjustRightInd w:val="0"/>
        <w:spacing w:after="60" w:line="240" w:lineRule="atLeast"/>
        <w:jc w:val="both"/>
        <w:rPr>
          <w:rFonts w:ascii="Verdana" w:hAnsi="Verdana"/>
          <w:b/>
          <w:color w:val="000000"/>
          <w:sz w:val="20"/>
          <w:szCs w:val="20"/>
        </w:rPr>
      </w:pPr>
      <w:r w:rsidRPr="00A31EEB">
        <w:rPr>
          <w:rFonts w:ascii="Verdana" w:hAnsi="Verdana"/>
          <w:b/>
          <w:color w:val="000000"/>
          <w:sz w:val="20"/>
          <w:szCs w:val="20"/>
        </w:rPr>
        <w:t>Accounting</w:t>
      </w:r>
    </w:p>
    <w:p w:rsidR="008E0F82" w:rsidRDefault="008E0F82" w:rsidP="00F70AC7">
      <w:pPr>
        <w:tabs>
          <w:tab w:val="left" w:pos="720"/>
        </w:tabs>
        <w:autoSpaceDE w:val="0"/>
        <w:autoSpaceDN w:val="0"/>
        <w:adjustRightInd w:val="0"/>
        <w:spacing w:after="120" w:line="240" w:lineRule="atLeast"/>
        <w:jc w:val="both"/>
        <w:rPr>
          <w:rFonts w:ascii="Verdana" w:hAnsi="Verdana"/>
          <w:color w:val="000000"/>
          <w:sz w:val="20"/>
          <w:szCs w:val="20"/>
        </w:rPr>
      </w:pPr>
      <w:r w:rsidRPr="00A31EEB">
        <w:rPr>
          <w:rFonts w:ascii="Verdana" w:hAnsi="Verdana"/>
          <w:color w:val="000000"/>
          <w:sz w:val="20"/>
          <w:szCs w:val="20"/>
        </w:rPr>
        <w:t xml:space="preserve">The PIU will be responsible for maintenance of accounting records for components A, B, C and D of the project. </w:t>
      </w:r>
      <w:r>
        <w:rPr>
          <w:rFonts w:ascii="Verdana" w:hAnsi="Verdana"/>
          <w:color w:val="000000"/>
          <w:sz w:val="20"/>
          <w:szCs w:val="20"/>
        </w:rPr>
        <w:t xml:space="preserve">National accounting standard shall be followed. </w:t>
      </w:r>
      <w:r w:rsidRPr="00A31EEB">
        <w:rPr>
          <w:rFonts w:ascii="Verdana" w:hAnsi="Verdana"/>
          <w:color w:val="000000"/>
          <w:sz w:val="20"/>
          <w:szCs w:val="20"/>
        </w:rPr>
        <w:t xml:space="preserve">Project accounting records will be maintained in accordance with the Cash Basis International Public Sector Accounting Standard (IPSAS). </w:t>
      </w:r>
      <w:r>
        <w:rPr>
          <w:rFonts w:ascii="Verdana" w:hAnsi="Verdana"/>
          <w:color w:val="000000"/>
          <w:sz w:val="20"/>
          <w:szCs w:val="20"/>
        </w:rPr>
        <w:t xml:space="preserve">Thus, for reporting to the Bank, IPSAS should be applied. </w:t>
      </w:r>
      <w:r w:rsidRPr="00A31EEB">
        <w:rPr>
          <w:rFonts w:ascii="Verdana" w:hAnsi="Verdana"/>
          <w:color w:val="000000"/>
          <w:sz w:val="20"/>
          <w:szCs w:val="20"/>
        </w:rPr>
        <w:t xml:space="preserve">At the same time, </w:t>
      </w:r>
      <w:r w:rsidR="00D30A06">
        <w:rPr>
          <w:rFonts w:ascii="Verdana" w:hAnsi="Verdana"/>
          <w:color w:val="000000"/>
          <w:sz w:val="20"/>
          <w:szCs w:val="20"/>
        </w:rPr>
        <w:t>(IMPLEMENTING AGENCY)</w:t>
      </w:r>
      <w:r w:rsidRPr="00A31EEB">
        <w:rPr>
          <w:rFonts w:ascii="Verdana" w:hAnsi="Verdana"/>
          <w:color w:val="000000"/>
          <w:sz w:val="20"/>
          <w:szCs w:val="20"/>
        </w:rPr>
        <w:t xml:space="preserve"> will continue using accrual basis of accounting in compliance with the National Accounting Standards of </w:t>
      </w:r>
      <w:r>
        <w:rPr>
          <w:rFonts w:ascii="Verdana" w:hAnsi="Verdana"/>
          <w:color w:val="000000"/>
          <w:sz w:val="20"/>
          <w:szCs w:val="20"/>
        </w:rPr>
        <w:t xml:space="preserve">the Republic of </w:t>
      </w:r>
      <w:r w:rsidRPr="00A31EEB">
        <w:rPr>
          <w:rFonts w:ascii="Verdana" w:hAnsi="Verdana"/>
          <w:color w:val="000000"/>
          <w:sz w:val="20"/>
          <w:szCs w:val="20"/>
        </w:rPr>
        <w:t xml:space="preserve">Uzbekistan. The PIU will install and modify the automated accounting and reporting system (software </w:t>
      </w:r>
      <w:r w:rsidR="00D30A06">
        <w:rPr>
          <w:rFonts w:ascii="Verdana" w:hAnsi="Verdana"/>
          <w:color w:val="000000"/>
          <w:sz w:val="20"/>
          <w:szCs w:val="20"/>
        </w:rPr>
        <w:t>name</w:t>
      </w:r>
      <w:r w:rsidRPr="00A31EEB">
        <w:rPr>
          <w:rFonts w:ascii="Verdana" w:hAnsi="Verdana"/>
          <w:color w:val="000000"/>
          <w:sz w:val="20"/>
          <w:szCs w:val="20"/>
        </w:rPr>
        <w:t>), which will allow fully automated accounting and reporting, including automatic generation of SOEs, IFRs and other reports required by national legislation. The system will have built-in controls to ensure data security, integrity and reliability.</w:t>
      </w:r>
    </w:p>
    <w:p w:rsidR="008E0F82" w:rsidRPr="00E01409" w:rsidRDefault="008E0F82" w:rsidP="00F70AC7">
      <w:pPr>
        <w:tabs>
          <w:tab w:val="left" w:pos="720"/>
        </w:tabs>
        <w:autoSpaceDE w:val="0"/>
        <w:autoSpaceDN w:val="0"/>
        <w:adjustRightInd w:val="0"/>
        <w:spacing w:after="60" w:line="240" w:lineRule="atLeast"/>
        <w:jc w:val="both"/>
        <w:rPr>
          <w:rFonts w:ascii="Verdana" w:hAnsi="Verdana"/>
          <w:b/>
          <w:color w:val="FF0000"/>
          <w:sz w:val="20"/>
          <w:szCs w:val="20"/>
        </w:rPr>
      </w:pPr>
      <w:r w:rsidRPr="00E01409">
        <w:rPr>
          <w:rFonts w:ascii="Verdana" w:hAnsi="Verdana"/>
          <w:b/>
          <w:color w:val="FF0000"/>
          <w:sz w:val="20"/>
          <w:szCs w:val="20"/>
        </w:rPr>
        <w:t>Accounts to be managed by the PIU</w:t>
      </w:r>
    </w:p>
    <w:p w:rsidR="008E0F82" w:rsidRDefault="008E0F82" w:rsidP="00F70AC7">
      <w:pPr>
        <w:autoSpaceDE w:val="0"/>
        <w:autoSpaceDN w:val="0"/>
        <w:adjustRightInd w:val="0"/>
        <w:spacing w:after="120"/>
        <w:jc w:val="both"/>
        <w:rPr>
          <w:rFonts w:ascii="Verdana" w:hAnsi="Verdana"/>
          <w:color w:val="FF0000"/>
          <w:sz w:val="20"/>
          <w:szCs w:val="20"/>
        </w:rPr>
      </w:pPr>
      <w:r w:rsidRPr="00E01409">
        <w:rPr>
          <w:rFonts w:ascii="Verdana" w:hAnsi="Verdana"/>
          <w:color w:val="FF0000"/>
          <w:sz w:val="20"/>
          <w:szCs w:val="20"/>
        </w:rPr>
        <w:t xml:space="preserve">A segregated Loan Designated Account in USD will be opened in </w:t>
      </w:r>
      <w:r w:rsidR="00D30A06">
        <w:rPr>
          <w:rFonts w:ascii="Verdana" w:hAnsi="Verdana"/>
          <w:color w:val="FF0000"/>
          <w:sz w:val="20"/>
          <w:szCs w:val="20"/>
        </w:rPr>
        <w:t>(Commercial Bank name or Treasury)</w:t>
      </w:r>
      <w:r w:rsidRPr="00E01409">
        <w:rPr>
          <w:rFonts w:ascii="Verdana" w:hAnsi="Verdana"/>
          <w:color w:val="FF0000"/>
          <w:sz w:val="20"/>
          <w:szCs w:val="20"/>
        </w:rPr>
        <w:t xml:space="preserve"> for the purpose of deposit advances from the Bank and to make payments solely for eligible project expenditures. For a complete definition of project eligible expenditures, please refer to the World Bank Disbursement Guidelines for Projects and the Financing Agreement. The payments of advances to the designated account are made in the currency of the designated account (USD).</w:t>
      </w:r>
      <w:r>
        <w:rPr>
          <w:rFonts w:ascii="Verdana" w:hAnsi="Verdana"/>
          <w:color w:val="FF0000"/>
          <w:sz w:val="20"/>
          <w:szCs w:val="20"/>
        </w:rPr>
        <w:t xml:space="preserve"> </w:t>
      </w:r>
    </w:p>
    <w:p w:rsidR="008E0F82" w:rsidRDefault="008E0F82" w:rsidP="00F70AC7">
      <w:pPr>
        <w:autoSpaceDE w:val="0"/>
        <w:autoSpaceDN w:val="0"/>
        <w:adjustRightInd w:val="0"/>
        <w:spacing w:after="120"/>
        <w:jc w:val="both"/>
        <w:rPr>
          <w:rFonts w:ascii="Verdana" w:hAnsi="Verdana"/>
          <w:color w:val="FF0000"/>
          <w:sz w:val="20"/>
          <w:szCs w:val="20"/>
        </w:rPr>
      </w:pPr>
      <w:r w:rsidRPr="00E01409">
        <w:rPr>
          <w:rFonts w:ascii="Verdana" w:hAnsi="Verdana"/>
          <w:color w:val="FF0000"/>
          <w:sz w:val="20"/>
          <w:szCs w:val="20"/>
        </w:rPr>
        <w:t xml:space="preserve">A Transit account will be opened in </w:t>
      </w:r>
      <w:r w:rsidR="00D30A06">
        <w:rPr>
          <w:rFonts w:ascii="Verdana" w:hAnsi="Verdana"/>
          <w:color w:val="FF0000"/>
          <w:sz w:val="20"/>
          <w:szCs w:val="20"/>
        </w:rPr>
        <w:t>(indicate local currency)</w:t>
      </w:r>
      <w:r w:rsidRPr="00E01409">
        <w:rPr>
          <w:rFonts w:ascii="Verdana" w:hAnsi="Verdana"/>
          <w:color w:val="FF0000"/>
          <w:sz w:val="20"/>
          <w:szCs w:val="20"/>
        </w:rPr>
        <w:t xml:space="preserve"> within the same bank for the purpose of conversion of USD to </w:t>
      </w:r>
      <w:r w:rsidR="00D30A06">
        <w:rPr>
          <w:rFonts w:ascii="Verdana" w:hAnsi="Verdana"/>
          <w:color w:val="FF0000"/>
          <w:sz w:val="20"/>
          <w:szCs w:val="20"/>
        </w:rPr>
        <w:t>(indicate local currency)</w:t>
      </w:r>
      <w:r w:rsidRPr="00E01409">
        <w:rPr>
          <w:rFonts w:ascii="Verdana" w:hAnsi="Verdana"/>
          <w:color w:val="FF0000"/>
          <w:sz w:val="20"/>
          <w:szCs w:val="20"/>
        </w:rPr>
        <w:t>. Th</w:t>
      </w:r>
      <w:r>
        <w:rPr>
          <w:rFonts w:ascii="Verdana" w:hAnsi="Verdana"/>
          <w:color w:val="FF0000"/>
          <w:sz w:val="20"/>
          <w:szCs w:val="20"/>
        </w:rPr>
        <w:t xml:space="preserve">e conversion should be made in the equivalent amount that is due for payment in </w:t>
      </w:r>
      <w:r w:rsidR="00D30A06">
        <w:rPr>
          <w:rFonts w:ascii="Verdana" w:hAnsi="Verdana"/>
          <w:color w:val="FF0000"/>
          <w:sz w:val="20"/>
          <w:szCs w:val="20"/>
        </w:rPr>
        <w:t>(indicate local currency)</w:t>
      </w:r>
      <w:r>
        <w:rPr>
          <w:rFonts w:ascii="Verdana" w:hAnsi="Verdana"/>
          <w:color w:val="FF0000"/>
          <w:sz w:val="20"/>
          <w:szCs w:val="20"/>
        </w:rPr>
        <w:t xml:space="preserve">. In order to </w:t>
      </w:r>
      <w:r>
        <w:rPr>
          <w:rFonts w:ascii="Verdana" w:hAnsi="Verdana"/>
          <w:color w:val="FF0000"/>
          <w:sz w:val="20"/>
          <w:szCs w:val="20"/>
        </w:rPr>
        <w:lastRenderedPageBreak/>
        <w:t xml:space="preserve">minimize foreign exchange (forex) losses, the payment shall be executed without any delay after the transfer to the Transit account. </w:t>
      </w:r>
    </w:p>
    <w:p w:rsidR="008E0F82" w:rsidRDefault="008E0F82" w:rsidP="00F70AC7">
      <w:pPr>
        <w:autoSpaceDE w:val="0"/>
        <w:autoSpaceDN w:val="0"/>
        <w:adjustRightInd w:val="0"/>
        <w:spacing w:after="120"/>
        <w:jc w:val="both"/>
        <w:rPr>
          <w:rFonts w:ascii="Verdana" w:hAnsi="Verdana"/>
          <w:color w:val="FF0000"/>
          <w:sz w:val="20"/>
          <w:szCs w:val="20"/>
        </w:rPr>
      </w:pPr>
      <w:r w:rsidRPr="00CC1B75">
        <w:rPr>
          <w:rFonts w:ascii="Verdana" w:hAnsi="Verdana"/>
          <w:color w:val="FF0000"/>
          <w:sz w:val="20"/>
          <w:szCs w:val="20"/>
        </w:rPr>
        <w:t xml:space="preserve">The PIU will prepare and submit to the Bank project SOE (Statement of Expenditures) every calendar quarter, starting with the quarter in which the first disbursements occur. During the submission of SOE, PIU will </w:t>
      </w:r>
      <w:r>
        <w:rPr>
          <w:rFonts w:ascii="Verdana" w:hAnsi="Verdana"/>
          <w:color w:val="FF0000"/>
          <w:sz w:val="20"/>
          <w:szCs w:val="20"/>
        </w:rPr>
        <w:t>use USD/</w:t>
      </w:r>
      <w:r w:rsidR="00D30A06">
        <w:rPr>
          <w:rFonts w:ascii="Verdana" w:hAnsi="Verdana"/>
          <w:color w:val="FF0000"/>
          <w:sz w:val="20"/>
          <w:szCs w:val="20"/>
        </w:rPr>
        <w:t>(indicate local currency)</w:t>
      </w:r>
      <w:r>
        <w:rPr>
          <w:rFonts w:ascii="Verdana" w:hAnsi="Verdana"/>
          <w:color w:val="FF0000"/>
          <w:sz w:val="20"/>
          <w:szCs w:val="20"/>
        </w:rPr>
        <w:t xml:space="preserve"> rates at the date when the</w:t>
      </w:r>
      <w:r w:rsidRPr="00CC1B75">
        <w:rPr>
          <w:rFonts w:ascii="Verdana" w:hAnsi="Verdana"/>
          <w:color w:val="FF0000"/>
          <w:sz w:val="20"/>
          <w:szCs w:val="20"/>
        </w:rPr>
        <w:t xml:space="preserve"> funds are withdrawn from the designated account</w:t>
      </w:r>
      <w:r>
        <w:rPr>
          <w:rFonts w:ascii="Verdana" w:hAnsi="Verdana"/>
          <w:color w:val="FF0000"/>
          <w:sz w:val="20"/>
          <w:szCs w:val="20"/>
        </w:rPr>
        <w:t>.</w:t>
      </w:r>
    </w:p>
    <w:p w:rsidR="008E0F82" w:rsidRDefault="008E0F82" w:rsidP="00F70AC7">
      <w:pPr>
        <w:tabs>
          <w:tab w:val="left" w:pos="720"/>
        </w:tabs>
        <w:autoSpaceDE w:val="0"/>
        <w:autoSpaceDN w:val="0"/>
        <w:adjustRightInd w:val="0"/>
        <w:spacing w:after="60" w:line="240" w:lineRule="atLeast"/>
        <w:jc w:val="both"/>
        <w:rPr>
          <w:rFonts w:ascii="Verdana" w:hAnsi="Verdana"/>
          <w:b/>
          <w:color w:val="FF0000"/>
          <w:sz w:val="20"/>
          <w:szCs w:val="20"/>
        </w:rPr>
      </w:pPr>
      <w:r>
        <w:rPr>
          <w:rFonts w:ascii="Verdana" w:hAnsi="Verdana"/>
          <w:b/>
          <w:color w:val="FF0000"/>
          <w:sz w:val="20"/>
          <w:szCs w:val="20"/>
        </w:rPr>
        <w:t>Cash on hand</w:t>
      </w:r>
    </w:p>
    <w:p w:rsidR="008E0F82" w:rsidRPr="00CC1B75" w:rsidRDefault="008E0F82" w:rsidP="00F70AC7">
      <w:pPr>
        <w:tabs>
          <w:tab w:val="left" w:pos="720"/>
        </w:tabs>
        <w:autoSpaceDE w:val="0"/>
        <w:autoSpaceDN w:val="0"/>
        <w:adjustRightInd w:val="0"/>
        <w:spacing w:after="120" w:line="240" w:lineRule="atLeast"/>
        <w:jc w:val="both"/>
        <w:rPr>
          <w:rFonts w:ascii="Verdana" w:hAnsi="Verdana"/>
          <w:color w:val="FF0000"/>
          <w:sz w:val="20"/>
          <w:szCs w:val="20"/>
        </w:rPr>
      </w:pPr>
      <w:r w:rsidRPr="00E01409">
        <w:rPr>
          <w:rFonts w:ascii="Verdana" w:hAnsi="Verdana"/>
          <w:color w:val="FF0000"/>
          <w:sz w:val="20"/>
          <w:szCs w:val="20"/>
        </w:rPr>
        <w:t xml:space="preserve">Cash on hand will be kept by the PIU for the maximum of 3 business days, if not used, the cash shall be deposited back to </w:t>
      </w:r>
      <w:r w:rsidR="00D30A06">
        <w:rPr>
          <w:rFonts w:ascii="Verdana" w:hAnsi="Verdana"/>
          <w:color w:val="FF0000"/>
          <w:sz w:val="20"/>
          <w:szCs w:val="20"/>
        </w:rPr>
        <w:t>(Commercial Bank where DA is kept/Treasury)</w:t>
      </w:r>
      <w:r w:rsidRPr="00E01409">
        <w:rPr>
          <w:rFonts w:ascii="Verdana" w:hAnsi="Verdana"/>
          <w:color w:val="FF0000"/>
          <w:sz w:val="20"/>
          <w:szCs w:val="20"/>
        </w:rPr>
        <w:t xml:space="preserve">. The maximum limit on cash on hand shall be </w:t>
      </w:r>
      <w:r w:rsidR="00D30A06">
        <w:rPr>
          <w:rFonts w:ascii="Verdana" w:hAnsi="Verdana"/>
          <w:color w:val="FF0000"/>
          <w:sz w:val="20"/>
          <w:szCs w:val="20"/>
        </w:rPr>
        <w:t>... Indicate maximum limit (indicate local currency)</w:t>
      </w:r>
      <w:r w:rsidRPr="00E01409">
        <w:rPr>
          <w:rFonts w:ascii="Verdana" w:hAnsi="Verdana"/>
          <w:color w:val="FF0000"/>
          <w:sz w:val="20"/>
          <w:szCs w:val="20"/>
        </w:rPr>
        <w:t xml:space="preserve">. The purpose of keeping cash on hand is for local expenditures such as </w:t>
      </w:r>
      <w:r>
        <w:rPr>
          <w:rFonts w:ascii="Verdana" w:hAnsi="Verdana"/>
          <w:color w:val="FF0000"/>
          <w:sz w:val="20"/>
          <w:szCs w:val="20"/>
        </w:rPr>
        <w:t>occa</w:t>
      </w:r>
      <w:r w:rsidRPr="00E01409">
        <w:rPr>
          <w:rFonts w:ascii="Verdana" w:hAnsi="Verdana"/>
          <w:color w:val="FF0000"/>
          <w:sz w:val="20"/>
          <w:szCs w:val="20"/>
        </w:rPr>
        <w:t xml:space="preserve">sional salary payments for </w:t>
      </w:r>
      <w:r>
        <w:rPr>
          <w:rFonts w:ascii="Verdana" w:hAnsi="Verdana"/>
          <w:color w:val="FF0000"/>
          <w:sz w:val="20"/>
          <w:szCs w:val="20"/>
        </w:rPr>
        <w:t xml:space="preserve">the </w:t>
      </w:r>
      <w:r w:rsidRPr="00E01409">
        <w:rPr>
          <w:rFonts w:ascii="Verdana" w:hAnsi="Verdana"/>
          <w:color w:val="FF0000"/>
          <w:sz w:val="20"/>
          <w:szCs w:val="20"/>
        </w:rPr>
        <w:t xml:space="preserve">PIU staff, advance payments for allowances or </w:t>
      </w:r>
      <w:r>
        <w:rPr>
          <w:rFonts w:ascii="Verdana" w:hAnsi="Verdana"/>
          <w:color w:val="FF0000"/>
          <w:sz w:val="20"/>
          <w:szCs w:val="20"/>
        </w:rPr>
        <w:t xml:space="preserve">for </w:t>
      </w:r>
      <w:r w:rsidRPr="00E01409">
        <w:rPr>
          <w:rFonts w:ascii="Verdana" w:hAnsi="Verdana"/>
          <w:color w:val="FF0000"/>
          <w:sz w:val="20"/>
          <w:szCs w:val="20"/>
        </w:rPr>
        <w:t>training expenses of PIU staff.</w:t>
      </w:r>
      <w:r>
        <w:rPr>
          <w:rFonts w:ascii="Verdana" w:hAnsi="Verdana"/>
          <w:color w:val="FF0000"/>
          <w:sz w:val="20"/>
          <w:szCs w:val="20"/>
        </w:rPr>
        <w:t xml:space="preserve"> </w:t>
      </w:r>
    </w:p>
    <w:p w:rsidR="008E0F82" w:rsidRDefault="008E0F82" w:rsidP="00F70AC7">
      <w:pPr>
        <w:tabs>
          <w:tab w:val="left" w:pos="720"/>
        </w:tabs>
        <w:autoSpaceDE w:val="0"/>
        <w:autoSpaceDN w:val="0"/>
        <w:adjustRightInd w:val="0"/>
        <w:spacing w:after="60" w:line="240" w:lineRule="atLeast"/>
        <w:jc w:val="both"/>
        <w:rPr>
          <w:rFonts w:ascii="Verdana" w:hAnsi="Verdana"/>
          <w:b/>
          <w:color w:val="FF0000"/>
          <w:sz w:val="20"/>
          <w:szCs w:val="20"/>
        </w:rPr>
      </w:pPr>
      <w:r>
        <w:rPr>
          <w:rFonts w:ascii="Verdana" w:hAnsi="Verdana"/>
          <w:b/>
          <w:color w:val="FF0000"/>
          <w:sz w:val="20"/>
          <w:szCs w:val="20"/>
        </w:rPr>
        <w:t>Tender accounts</w:t>
      </w:r>
    </w:p>
    <w:p w:rsidR="008E0F82" w:rsidRDefault="008E0F82" w:rsidP="00F70AC7">
      <w:pPr>
        <w:tabs>
          <w:tab w:val="left" w:pos="720"/>
        </w:tabs>
        <w:autoSpaceDE w:val="0"/>
        <w:autoSpaceDN w:val="0"/>
        <w:adjustRightInd w:val="0"/>
        <w:spacing w:after="120" w:line="240" w:lineRule="atLeast"/>
        <w:jc w:val="both"/>
        <w:rPr>
          <w:rFonts w:ascii="Verdana" w:hAnsi="Verdana"/>
          <w:color w:val="FF0000"/>
          <w:sz w:val="20"/>
          <w:szCs w:val="20"/>
        </w:rPr>
      </w:pPr>
      <w:r w:rsidRPr="00877929">
        <w:rPr>
          <w:rFonts w:ascii="Verdana" w:hAnsi="Verdana"/>
          <w:color w:val="FF0000"/>
          <w:sz w:val="20"/>
          <w:szCs w:val="20"/>
        </w:rPr>
        <w:t xml:space="preserve">Tender </w:t>
      </w:r>
      <w:r>
        <w:rPr>
          <w:rFonts w:ascii="Verdana" w:hAnsi="Verdana"/>
          <w:color w:val="FF0000"/>
          <w:sz w:val="20"/>
          <w:szCs w:val="20"/>
        </w:rPr>
        <w:t>(bidding) accounts</w:t>
      </w:r>
      <w:r w:rsidRPr="00877929">
        <w:rPr>
          <w:rFonts w:ascii="Verdana" w:hAnsi="Verdana"/>
          <w:color w:val="FF0000"/>
          <w:sz w:val="20"/>
          <w:szCs w:val="20"/>
        </w:rPr>
        <w:t xml:space="preserve"> </w:t>
      </w:r>
      <w:r>
        <w:rPr>
          <w:rFonts w:ascii="Verdana" w:hAnsi="Verdana"/>
          <w:color w:val="FF0000"/>
          <w:sz w:val="20"/>
          <w:szCs w:val="20"/>
        </w:rPr>
        <w:t xml:space="preserve">in USD and </w:t>
      </w:r>
      <w:r w:rsidR="00D30A06">
        <w:rPr>
          <w:rFonts w:ascii="Verdana" w:hAnsi="Verdana"/>
          <w:color w:val="FF0000"/>
          <w:sz w:val="20"/>
          <w:szCs w:val="20"/>
        </w:rPr>
        <w:t>(indicate local currency)</w:t>
      </w:r>
      <w:r>
        <w:rPr>
          <w:rFonts w:ascii="Verdana" w:hAnsi="Verdana"/>
          <w:color w:val="FF0000"/>
          <w:sz w:val="20"/>
          <w:szCs w:val="20"/>
        </w:rPr>
        <w:t xml:space="preserve"> will be opened at </w:t>
      </w:r>
      <w:r w:rsidR="00D30A06">
        <w:rPr>
          <w:rFonts w:ascii="Verdana" w:hAnsi="Verdana"/>
          <w:color w:val="FF0000"/>
          <w:sz w:val="20"/>
          <w:szCs w:val="20"/>
        </w:rPr>
        <w:t xml:space="preserve">(commercial bank name) </w:t>
      </w:r>
      <w:r>
        <w:rPr>
          <w:rFonts w:ascii="Verdana" w:hAnsi="Verdana"/>
          <w:color w:val="FF0000"/>
          <w:sz w:val="20"/>
          <w:szCs w:val="20"/>
        </w:rPr>
        <w:t xml:space="preserve">and separated from the designated account. The tender account is not considered a project account. The purpose of the tender accounts is to e.g. allow transfer of funds for payment of bidding documents (or any equivalent documentation), training of </w:t>
      </w:r>
      <w:r w:rsidR="00D30A06">
        <w:rPr>
          <w:rFonts w:ascii="Verdana" w:hAnsi="Verdana"/>
          <w:color w:val="FF0000"/>
          <w:sz w:val="20"/>
          <w:szCs w:val="20"/>
        </w:rPr>
        <w:t>(IMPLEMENTING AGENCY)</w:t>
      </w:r>
      <w:r>
        <w:rPr>
          <w:rFonts w:ascii="Verdana" w:hAnsi="Verdana"/>
          <w:color w:val="FF0000"/>
          <w:sz w:val="20"/>
          <w:szCs w:val="20"/>
        </w:rPr>
        <w:t xml:space="preserve"> and PIU staff, enhancement of the accounting system or other measures </w:t>
      </w:r>
      <w:r w:rsidR="00D30A06">
        <w:rPr>
          <w:rFonts w:ascii="Verdana" w:hAnsi="Verdana"/>
          <w:color w:val="FF0000"/>
          <w:sz w:val="20"/>
          <w:szCs w:val="20"/>
        </w:rPr>
        <w:t xml:space="preserve">(IMPLEMENTING AGENCY) </w:t>
      </w:r>
      <w:r>
        <w:rPr>
          <w:rFonts w:ascii="Verdana" w:hAnsi="Verdana"/>
          <w:color w:val="FF0000"/>
          <w:sz w:val="20"/>
          <w:szCs w:val="20"/>
        </w:rPr>
        <w:t>considers necessary in order to ensure its sufficient capacity to satisfactory accomplish the Project.</w:t>
      </w:r>
    </w:p>
    <w:p w:rsidR="008E0F82" w:rsidRDefault="008E0F82" w:rsidP="00F70AC7">
      <w:pPr>
        <w:tabs>
          <w:tab w:val="left" w:pos="720"/>
        </w:tabs>
        <w:autoSpaceDE w:val="0"/>
        <w:autoSpaceDN w:val="0"/>
        <w:adjustRightInd w:val="0"/>
        <w:spacing w:after="60" w:line="240" w:lineRule="atLeast"/>
        <w:jc w:val="both"/>
        <w:rPr>
          <w:rFonts w:ascii="Verdana" w:hAnsi="Verdana"/>
          <w:b/>
          <w:color w:val="FF0000"/>
          <w:sz w:val="20"/>
          <w:szCs w:val="20"/>
        </w:rPr>
      </w:pPr>
      <w:r>
        <w:rPr>
          <w:rFonts w:ascii="Verdana" w:hAnsi="Verdana"/>
          <w:b/>
          <w:color w:val="FF0000"/>
          <w:sz w:val="20"/>
          <w:szCs w:val="20"/>
        </w:rPr>
        <w:t>Account reconciliations</w:t>
      </w:r>
    </w:p>
    <w:p w:rsidR="008E0F82" w:rsidRPr="00816477" w:rsidRDefault="008E0F82" w:rsidP="00F70AC7">
      <w:pPr>
        <w:tabs>
          <w:tab w:val="left" w:pos="720"/>
        </w:tabs>
        <w:autoSpaceDE w:val="0"/>
        <w:autoSpaceDN w:val="0"/>
        <w:adjustRightInd w:val="0"/>
        <w:spacing w:after="120" w:line="240" w:lineRule="atLeast"/>
        <w:jc w:val="both"/>
        <w:rPr>
          <w:rFonts w:ascii="Verdana" w:hAnsi="Verdana"/>
          <w:color w:val="FF0000"/>
          <w:sz w:val="20"/>
          <w:szCs w:val="20"/>
        </w:rPr>
      </w:pPr>
      <w:r w:rsidRPr="00AC40BA">
        <w:rPr>
          <w:rFonts w:ascii="Verdana" w:hAnsi="Verdana"/>
          <w:color w:val="FF0000"/>
          <w:sz w:val="20"/>
          <w:szCs w:val="20"/>
        </w:rPr>
        <w:t xml:space="preserve">The PIU will perform reconciliation of data in the </w:t>
      </w:r>
      <w:r>
        <w:rPr>
          <w:rFonts w:ascii="Verdana" w:hAnsi="Verdana"/>
          <w:color w:val="FF0000"/>
          <w:sz w:val="20"/>
          <w:szCs w:val="20"/>
        </w:rPr>
        <w:t xml:space="preserve">Client Connection system (the accounting system) and </w:t>
      </w:r>
      <w:r w:rsidRPr="00AC40BA">
        <w:rPr>
          <w:rFonts w:ascii="Verdana" w:hAnsi="Verdana"/>
          <w:color w:val="FF0000"/>
          <w:sz w:val="20"/>
          <w:szCs w:val="20"/>
        </w:rPr>
        <w:t>Bank statements for the designated accounts in USD and local currency, and document and file the reconciliation statements which will be signed by all responsible officials (Financial Management Specialist/Ac</w:t>
      </w:r>
      <w:r>
        <w:rPr>
          <w:rFonts w:ascii="Verdana" w:hAnsi="Verdana"/>
          <w:color w:val="FF0000"/>
          <w:sz w:val="20"/>
          <w:szCs w:val="20"/>
        </w:rPr>
        <w:t>countant and Project Director</w:t>
      </w:r>
      <w:r w:rsidRPr="00AC40BA">
        <w:rPr>
          <w:rFonts w:ascii="Verdana" w:hAnsi="Verdana"/>
          <w:color w:val="FF0000"/>
          <w:sz w:val="20"/>
          <w:szCs w:val="20"/>
        </w:rPr>
        <w:t>).</w:t>
      </w:r>
    </w:p>
    <w:p w:rsidR="008E0F82" w:rsidRPr="00A31EEB" w:rsidRDefault="008E0F82" w:rsidP="00F70AC7">
      <w:pPr>
        <w:tabs>
          <w:tab w:val="left" w:pos="720"/>
        </w:tabs>
        <w:autoSpaceDE w:val="0"/>
        <w:autoSpaceDN w:val="0"/>
        <w:adjustRightInd w:val="0"/>
        <w:spacing w:after="60" w:line="240" w:lineRule="atLeast"/>
        <w:jc w:val="both"/>
        <w:rPr>
          <w:rFonts w:ascii="Verdana" w:hAnsi="Verdana"/>
          <w:b/>
          <w:color w:val="000000"/>
          <w:sz w:val="20"/>
          <w:szCs w:val="20"/>
        </w:rPr>
      </w:pPr>
      <w:r w:rsidRPr="00A31EEB">
        <w:rPr>
          <w:rFonts w:ascii="Verdana" w:hAnsi="Verdana"/>
          <w:b/>
          <w:color w:val="000000"/>
          <w:sz w:val="20"/>
          <w:szCs w:val="20"/>
        </w:rPr>
        <w:t>Internal Controls</w:t>
      </w:r>
      <w:r>
        <w:rPr>
          <w:rFonts w:ascii="Verdana" w:hAnsi="Verdana"/>
          <w:b/>
          <w:color w:val="000000"/>
          <w:sz w:val="20"/>
          <w:szCs w:val="20"/>
        </w:rPr>
        <w:t xml:space="preserve"> and M&amp;E</w:t>
      </w:r>
    </w:p>
    <w:p w:rsidR="008E0F82" w:rsidRDefault="008E0F82" w:rsidP="00F70AC7">
      <w:pPr>
        <w:tabs>
          <w:tab w:val="left" w:pos="720"/>
        </w:tabs>
        <w:autoSpaceDE w:val="0"/>
        <w:autoSpaceDN w:val="0"/>
        <w:adjustRightInd w:val="0"/>
        <w:spacing w:after="120" w:line="240" w:lineRule="atLeast"/>
        <w:jc w:val="both"/>
        <w:rPr>
          <w:rFonts w:ascii="Verdana" w:hAnsi="Verdana"/>
          <w:color w:val="000000"/>
          <w:sz w:val="20"/>
          <w:szCs w:val="20"/>
        </w:rPr>
      </w:pPr>
      <w:r w:rsidRPr="00A31EEB">
        <w:rPr>
          <w:rFonts w:ascii="Verdana" w:hAnsi="Verdana"/>
          <w:color w:val="000000"/>
          <w:sz w:val="20"/>
          <w:szCs w:val="20"/>
        </w:rPr>
        <w:t>The PIU will establish internal controls system capable of providing reliable and adequate controls over FM and disbursement processes and procedures</w:t>
      </w:r>
      <w:r w:rsidRPr="00FE6F02">
        <w:rPr>
          <w:rFonts w:ascii="Verdana" w:hAnsi="Verdana"/>
          <w:color w:val="000000"/>
          <w:sz w:val="20"/>
          <w:szCs w:val="20"/>
        </w:rPr>
        <w:t xml:space="preserve"> in the application and use of project funds</w:t>
      </w:r>
      <w:r w:rsidRPr="00A31EEB">
        <w:rPr>
          <w:rFonts w:ascii="Verdana" w:hAnsi="Verdana"/>
          <w:color w:val="000000"/>
          <w:sz w:val="20"/>
          <w:szCs w:val="20"/>
        </w:rPr>
        <w:t xml:space="preserve">. These include </w:t>
      </w:r>
      <w:r w:rsidRPr="00FE6F02">
        <w:rPr>
          <w:rFonts w:ascii="Verdana" w:hAnsi="Verdana"/>
          <w:color w:val="000000"/>
          <w:sz w:val="20"/>
          <w:szCs w:val="20"/>
        </w:rPr>
        <w:t>ensuring completeness of accounting transactions, reliability of accounting data, safeguarding of assets of the project, including safe custody of cash and other assets, proper monitoring of contracts, proper authorization and documentation of all project expenditures, and full accountability of project funds</w:t>
      </w:r>
      <w:r>
        <w:rPr>
          <w:rFonts w:ascii="Verdana" w:hAnsi="Verdana"/>
          <w:color w:val="000000"/>
          <w:sz w:val="20"/>
          <w:szCs w:val="20"/>
        </w:rPr>
        <w:t>. It will also include</w:t>
      </w:r>
      <w:r w:rsidRPr="00FE6F02">
        <w:rPr>
          <w:rFonts w:ascii="Verdana" w:hAnsi="Verdana"/>
          <w:color w:val="000000"/>
          <w:sz w:val="20"/>
          <w:szCs w:val="20"/>
        </w:rPr>
        <w:t xml:space="preserve"> ade</w:t>
      </w:r>
      <w:r>
        <w:rPr>
          <w:rFonts w:ascii="Verdana" w:hAnsi="Verdana"/>
          <w:color w:val="000000"/>
          <w:sz w:val="20"/>
          <w:szCs w:val="20"/>
        </w:rPr>
        <w:t xml:space="preserve">quate segregation of functions </w:t>
      </w:r>
      <w:r w:rsidRPr="00FE6F02">
        <w:rPr>
          <w:rFonts w:ascii="Verdana" w:hAnsi="Verdana"/>
          <w:color w:val="000000"/>
          <w:sz w:val="20"/>
          <w:szCs w:val="20"/>
        </w:rPr>
        <w:t>as well as flow of funds to</w:t>
      </w:r>
      <w:r>
        <w:rPr>
          <w:rFonts w:ascii="Verdana" w:hAnsi="Verdana"/>
          <w:color w:val="000000"/>
          <w:sz w:val="20"/>
          <w:szCs w:val="20"/>
        </w:rPr>
        <w:t xml:space="preserve"> support project activities,</w:t>
      </w:r>
      <w:r w:rsidRPr="00FE6F02">
        <w:rPr>
          <w:rFonts w:ascii="Verdana" w:hAnsi="Verdana"/>
          <w:color w:val="000000"/>
          <w:sz w:val="20"/>
          <w:szCs w:val="20"/>
        </w:rPr>
        <w:t xml:space="preserve"> management of the bank accounts, including regular reconciliation of bank statements with project records and bank account signing mandates that require at </w:t>
      </w:r>
      <w:r w:rsidRPr="00101162">
        <w:rPr>
          <w:rFonts w:ascii="Verdana" w:hAnsi="Verdana"/>
          <w:color w:val="000000"/>
          <w:sz w:val="20"/>
          <w:szCs w:val="20"/>
        </w:rPr>
        <w:t>least two signatures to withdraw cash from the bank. The quarterly financial reporting will ensure close monitoring of project activities, as well as the flow of funds to support project activities.</w:t>
      </w:r>
      <w:r w:rsidRPr="00101162">
        <w:rPr>
          <w:rFonts w:ascii="Verdana" w:hAnsi="Verdana"/>
          <w:sz w:val="20"/>
          <w:szCs w:val="20"/>
        </w:rPr>
        <w:t xml:space="preserve"> The</w:t>
      </w:r>
      <w:r w:rsidRPr="00101162">
        <w:rPr>
          <w:rFonts w:ascii="Verdana" w:hAnsi="Verdana"/>
          <w:color w:val="000000"/>
          <w:sz w:val="20"/>
          <w:szCs w:val="20"/>
        </w:rPr>
        <w:t xml:space="preserve"> reports would also cover financial and procurement information, including: (i) comparison of actual physical and financial outputs with forecasts, together with updated six-month project forecasts; (ii) project financial statements, including sources and application of funds, statement of expenditures by category, and account reconciliation for the Designated Account (DA); and (iii) procurement status and contract commitments.</w:t>
      </w:r>
      <w:r>
        <w:rPr>
          <w:rFonts w:ascii="Verdana" w:hAnsi="Verdana"/>
          <w:color w:val="000000"/>
          <w:sz w:val="20"/>
          <w:szCs w:val="20"/>
        </w:rPr>
        <w:t xml:space="preserve"> If there is an significant difference between budget according to the Procurement Plan and actuals, there needs to be a clear explanation for the upcoming situation. </w:t>
      </w:r>
    </w:p>
    <w:p w:rsidR="008E0F82" w:rsidRPr="00816477" w:rsidRDefault="008E0F82" w:rsidP="00F70AC7">
      <w:pPr>
        <w:tabs>
          <w:tab w:val="left" w:pos="720"/>
        </w:tabs>
        <w:autoSpaceDE w:val="0"/>
        <w:autoSpaceDN w:val="0"/>
        <w:adjustRightInd w:val="0"/>
        <w:spacing w:after="120" w:line="240" w:lineRule="atLeast"/>
        <w:jc w:val="both"/>
        <w:rPr>
          <w:rFonts w:ascii="Verdana" w:hAnsi="Verdana"/>
          <w:color w:val="FF0000"/>
          <w:sz w:val="20"/>
          <w:szCs w:val="20"/>
        </w:rPr>
      </w:pPr>
      <w:r w:rsidRPr="00816477">
        <w:rPr>
          <w:rFonts w:ascii="Verdana" w:hAnsi="Verdana"/>
          <w:color w:val="FF0000"/>
          <w:sz w:val="20"/>
          <w:szCs w:val="20"/>
        </w:rPr>
        <w:t xml:space="preserve">The Financial Management Specialist </w:t>
      </w:r>
      <w:r>
        <w:rPr>
          <w:rFonts w:ascii="Verdana" w:hAnsi="Verdana"/>
          <w:color w:val="FF0000"/>
          <w:sz w:val="20"/>
          <w:szCs w:val="20"/>
        </w:rPr>
        <w:t>will</w:t>
      </w:r>
      <w:r w:rsidRPr="00816477">
        <w:rPr>
          <w:rFonts w:ascii="Verdana" w:hAnsi="Verdana"/>
          <w:color w:val="FF0000"/>
          <w:sz w:val="20"/>
          <w:szCs w:val="20"/>
        </w:rPr>
        <w:t xml:space="preserve"> be involved in the bidding/contract procedures to ensure that the contract management is properly conducted from a financial perspective. Especially, during the elaboration of the bidding document</w:t>
      </w:r>
      <w:r>
        <w:rPr>
          <w:rFonts w:ascii="Verdana" w:hAnsi="Verdana"/>
          <w:color w:val="FF0000"/>
          <w:sz w:val="20"/>
          <w:szCs w:val="20"/>
        </w:rPr>
        <w:t>ation</w:t>
      </w:r>
      <w:r w:rsidRPr="00816477">
        <w:rPr>
          <w:rFonts w:ascii="Verdana" w:hAnsi="Verdana"/>
          <w:color w:val="FF0000"/>
          <w:sz w:val="20"/>
          <w:szCs w:val="20"/>
        </w:rPr>
        <w:t xml:space="preserve">s he/she should suggest to the Procurement Specialist on tax implications </w:t>
      </w:r>
      <w:r>
        <w:rPr>
          <w:rFonts w:ascii="Verdana" w:hAnsi="Verdana"/>
          <w:color w:val="FF0000"/>
          <w:sz w:val="20"/>
          <w:szCs w:val="20"/>
        </w:rPr>
        <w:t>for non-residential</w:t>
      </w:r>
      <w:r w:rsidRPr="00816477">
        <w:rPr>
          <w:rFonts w:ascii="Verdana" w:hAnsi="Verdana"/>
          <w:color w:val="FF0000"/>
          <w:sz w:val="20"/>
          <w:szCs w:val="20"/>
        </w:rPr>
        <w:t xml:space="preserve"> individual or legal entities, both when the duties are performed in-country and outside the </w:t>
      </w:r>
      <w:r w:rsidR="00D30A06">
        <w:rPr>
          <w:rFonts w:ascii="Verdana" w:hAnsi="Verdana"/>
          <w:color w:val="FF0000"/>
          <w:sz w:val="20"/>
          <w:szCs w:val="20"/>
        </w:rPr>
        <w:t>Georgia</w:t>
      </w:r>
      <w:r w:rsidRPr="00816477">
        <w:rPr>
          <w:rFonts w:ascii="Verdana" w:hAnsi="Verdana"/>
          <w:color w:val="FF0000"/>
          <w:sz w:val="20"/>
          <w:szCs w:val="20"/>
        </w:rPr>
        <w:t xml:space="preserve">. He/she should also suggest </w:t>
      </w:r>
      <w:r w:rsidRPr="00816477">
        <w:rPr>
          <w:rFonts w:ascii="Verdana" w:hAnsi="Verdana"/>
          <w:color w:val="FF0000"/>
          <w:sz w:val="20"/>
          <w:szCs w:val="20"/>
        </w:rPr>
        <w:lastRenderedPageBreak/>
        <w:t>on who should be responsible for tax payments. Similarly, when there is an Act of Receipt of supporting documents (deliverables), the Financial Management Specialist should make sure to act according to the terms and conditions of the contract.</w:t>
      </w:r>
    </w:p>
    <w:p w:rsidR="008E0F82" w:rsidRPr="00A31EEB" w:rsidRDefault="008E0F82" w:rsidP="008E0F82">
      <w:pPr>
        <w:pStyle w:val="ListParagraph1"/>
        <w:spacing w:after="60"/>
        <w:ind w:left="0"/>
        <w:rPr>
          <w:rFonts w:ascii="Verdana" w:hAnsi="Verdana"/>
          <w:b/>
          <w:color w:val="000000"/>
          <w:sz w:val="20"/>
          <w:szCs w:val="20"/>
        </w:rPr>
      </w:pPr>
      <w:r w:rsidRPr="00A31EEB">
        <w:rPr>
          <w:rFonts w:ascii="Verdana" w:hAnsi="Verdana"/>
          <w:b/>
          <w:color w:val="000000"/>
          <w:sz w:val="20"/>
          <w:szCs w:val="20"/>
        </w:rPr>
        <w:t>Co-financing</w:t>
      </w:r>
    </w:p>
    <w:p w:rsidR="008E0F82" w:rsidRDefault="00D30A06" w:rsidP="008E0F82">
      <w:pPr>
        <w:pStyle w:val="ListParagraph1"/>
        <w:spacing w:after="120"/>
        <w:ind w:left="0"/>
        <w:rPr>
          <w:rFonts w:ascii="Verdana" w:hAnsi="Verdana"/>
          <w:color w:val="000000"/>
          <w:sz w:val="20"/>
          <w:szCs w:val="20"/>
        </w:rPr>
      </w:pPr>
      <w:r>
        <w:rPr>
          <w:rFonts w:ascii="Verdana" w:hAnsi="Verdana"/>
          <w:color w:val="000000"/>
          <w:sz w:val="20"/>
          <w:szCs w:val="20"/>
        </w:rPr>
        <w:t>(Indicate co-financing mechanisms if any)</w:t>
      </w:r>
    </w:p>
    <w:p w:rsidR="008E0F82" w:rsidRPr="00A31EEB" w:rsidRDefault="008E0F82" w:rsidP="008E0F82">
      <w:pPr>
        <w:pStyle w:val="ListParagraph1"/>
        <w:spacing w:after="60"/>
        <w:ind w:left="0"/>
        <w:rPr>
          <w:rFonts w:ascii="Verdana" w:hAnsi="Verdana"/>
          <w:b/>
          <w:color w:val="000000"/>
          <w:sz w:val="20"/>
          <w:szCs w:val="20"/>
        </w:rPr>
      </w:pPr>
      <w:r w:rsidRPr="00A31EEB">
        <w:rPr>
          <w:rFonts w:ascii="Verdana" w:hAnsi="Verdana"/>
          <w:b/>
          <w:color w:val="000000"/>
          <w:sz w:val="20"/>
          <w:szCs w:val="20"/>
        </w:rPr>
        <w:t>Financial Reporting</w:t>
      </w:r>
    </w:p>
    <w:p w:rsidR="008E0F82" w:rsidRPr="00A31EEB" w:rsidRDefault="008E0F82" w:rsidP="008E0F82">
      <w:pPr>
        <w:pStyle w:val="ListParagraph1"/>
        <w:spacing w:after="120"/>
        <w:ind w:left="0"/>
        <w:rPr>
          <w:rFonts w:ascii="Verdana" w:hAnsi="Verdana"/>
          <w:color w:val="000000"/>
          <w:sz w:val="20"/>
          <w:szCs w:val="20"/>
        </w:rPr>
      </w:pPr>
      <w:r w:rsidRPr="00A31EEB">
        <w:rPr>
          <w:rFonts w:ascii="Verdana" w:hAnsi="Verdana"/>
          <w:color w:val="000000"/>
          <w:sz w:val="20"/>
          <w:szCs w:val="20"/>
        </w:rPr>
        <w:t>The PIU will prepare and submit to the Bank project IFRs every calendar quarter, starting with the quarter in which the first disbursements occur. The format of IFRs will include</w:t>
      </w:r>
      <w:r>
        <w:rPr>
          <w:rFonts w:ascii="Verdana" w:hAnsi="Verdana"/>
          <w:color w:val="000000"/>
          <w:sz w:val="20"/>
          <w:szCs w:val="20"/>
        </w:rPr>
        <w:t>:</w:t>
      </w:r>
      <w:r w:rsidRPr="00A31EEB">
        <w:rPr>
          <w:rFonts w:ascii="Verdana" w:hAnsi="Verdana"/>
          <w:color w:val="000000"/>
          <w:sz w:val="20"/>
          <w:szCs w:val="20"/>
        </w:rPr>
        <w:t xml:space="preserve"> (i) Project Sources and Uses of Funds</w:t>
      </w:r>
      <w:r>
        <w:rPr>
          <w:rFonts w:ascii="Verdana" w:hAnsi="Verdana"/>
          <w:color w:val="000000"/>
          <w:sz w:val="20"/>
          <w:szCs w:val="20"/>
        </w:rPr>
        <w:t>;</w:t>
      </w:r>
      <w:r w:rsidRPr="00A31EEB">
        <w:rPr>
          <w:rFonts w:ascii="Verdana" w:hAnsi="Verdana"/>
          <w:color w:val="000000"/>
          <w:sz w:val="20"/>
          <w:szCs w:val="20"/>
        </w:rPr>
        <w:t xml:space="preserve"> (ii) Uses of Funds by Project Activities</w:t>
      </w:r>
      <w:r>
        <w:rPr>
          <w:rFonts w:ascii="Verdana" w:hAnsi="Verdana"/>
          <w:color w:val="000000"/>
          <w:sz w:val="20"/>
          <w:szCs w:val="20"/>
        </w:rPr>
        <w:t>;</w:t>
      </w:r>
      <w:r w:rsidRPr="00A31EEB">
        <w:rPr>
          <w:rFonts w:ascii="Verdana" w:hAnsi="Verdana"/>
          <w:color w:val="000000"/>
          <w:sz w:val="20"/>
          <w:szCs w:val="20"/>
        </w:rPr>
        <w:t xml:space="preserve"> (iii) Project Balance Sheet</w:t>
      </w:r>
      <w:r>
        <w:rPr>
          <w:rFonts w:ascii="Verdana" w:hAnsi="Verdana"/>
          <w:color w:val="000000"/>
          <w:sz w:val="20"/>
          <w:szCs w:val="20"/>
        </w:rPr>
        <w:t>;</w:t>
      </w:r>
      <w:r w:rsidRPr="00A31EEB">
        <w:rPr>
          <w:rFonts w:ascii="Verdana" w:hAnsi="Verdana"/>
          <w:color w:val="000000"/>
          <w:sz w:val="20"/>
          <w:szCs w:val="20"/>
        </w:rPr>
        <w:t xml:space="preserve"> (iv) DA Statement</w:t>
      </w:r>
      <w:r>
        <w:rPr>
          <w:rFonts w:ascii="Verdana" w:hAnsi="Verdana"/>
          <w:color w:val="000000"/>
          <w:sz w:val="20"/>
          <w:szCs w:val="20"/>
        </w:rPr>
        <w:t>;</w:t>
      </w:r>
      <w:r w:rsidRPr="00A31EEB">
        <w:rPr>
          <w:rFonts w:ascii="Verdana" w:hAnsi="Verdana"/>
          <w:color w:val="000000"/>
          <w:sz w:val="20"/>
          <w:szCs w:val="20"/>
        </w:rPr>
        <w:t xml:space="preserve"> and (v) a Statement of Expenditure Withdrawal Schedule. IFRs will be automatically generated by the project accounting software. These financial reports will be submitted to the Bank within 45 days of the end of each calendar quarter.</w:t>
      </w:r>
    </w:p>
    <w:p w:rsidR="008E0F82" w:rsidRPr="00A31EEB" w:rsidRDefault="008E0F82" w:rsidP="008E0F82">
      <w:pPr>
        <w:pStyle w:val="ListParagraph1"/>
        <w:spacing w:after="60"/>
        <w:ind w:left="0"/>
        <w:rPr>
          <w:rFonts w:ascii="Verdana" w:hAnsi="Verdana"/>
          <w:b/>
          <w:color w:val="000000"/>
          <w:sz w:val="20"/>
          <w:szCs w:val="20"/>
        </w:rPr>
      </w:pPr>
      <w:r w:rsidRPr="00A31EEB">
        <w:rPr>
          <w:rFonts w:ascii="Verdana" w:hAnsi="Verdana"/>
          <w:b/>
          <w:color w:val="000000"/>
          <w:sz w:val="20"/>
          <w:szCs w:val="20"/>
        </w:rPr>
        <w:t>External Audits</w:t>
      </w:r>
    </w:p>
    <w:p w:rsidR="008E0F82" w:rsidRPr="00A31EEB" w:rsidRDefault="008E0F82" w:rsidP="008E0F82">
      <w:pPr>
        <w:pStyle w:val="ListParagraph1"/>
        <w:spacing w:after="120"/>
        <w:ind w:left="0"/>
        <w:rPr>
          <w:rFonts w:ascii="Verdana" w:hAnsi="Verdana"/>
          <w:i/>
          <w:color w:val="000000"/>
          <w:sz w:val="20"/>
          <w:szCs w:val="20"/>
        </w:rPr>
      </w:pPr>
      <w:r w:rsidRPr="00A31EEB">
        <w:rPr>
          <w:rFonts w:ascii="Verdana" w:hAnsi="Verdana"/>
          <w:color w:val="000000"/>
          <w:sz w:val="20"/>
          <w:szCs w:val="20"/>
        </w:rPr>
        <w:t>The PIU will be responsible for the annual audit of Project Financial Statements (PFS). The PFS audit will be conducted (i) by independent private auditors acceptable to the Bank, hired on the basis of TORs acceptable to the Bank, and (ii) according to the ISA issued by the International Auditing and Assurance Standards Board of the International Federation of Accountants. The project audit will include: (i) audit of financial statements</w:t>
      </w:r>
      <w:r>
        <w:rPr>
          <w:rFonts w:ascii="Verdana" w:hAnsi="Verdana"/>
          <w:color w:val="000000"/>
          <w:sz w:val="20"/>
          <w:szCs w:val="20"/>
        </w:rPr>
        <w:t>; and</w:t>
      </w:r>
      <w:r w:rsidRPr="00A31EEB">
        <w:rPr>
          <w:rFonts w:ascii="Verdana" w:hAnsi="Verdana"/>
          <w:color w:val="000000"/>
          <w:sz w:val="20"/>
          <w:szCs w:val="20"/>
        </w:rPr>
        <w:t xml:space="preserve"> (ii) review of the internal control mechanisms. No entity audit is required. The following table summarizes the audit requirements for this project: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3"/>
        <w:gridCol w:w="3739"/>
      </w:tblGrid>
      <w:tr w:rsidR="008E0F82" w:rsidRPr="00A31EEB" w:rsidTr="00A03642">
        <w:trPr>
          <w:trHeight w:val="260"/>
          <w:tblHeader/>
        </w:trPr>
        <w:tc>
          <w:tcPr>
            <w:tcW w:w="5333" w:type="dxa"/>
            <w:tcBorders>
              <w:top w:val="single" w:sz="4" w:space="0" w:color="auto"/>
              <w:left w:val="single" w:sz="4" w:space="0" w:color="auto"/>
              <w:bottom w:val="single" w:sz="4" w:space="0" w:color="auto"/>
              <w:right w:val="single" w:sz="4" w:space="0" w:color="auto"/>
            </w:tcBorders>
            <w:shd w:val="clear" w:color="auto" w:fill="EEECE1"/>
          </w:tcPr>
          <w:p w:rsidR="008E0F82" w:rsidRPr="00A31EEB" w:rsidRDefault="008E0F82" w:rsidP="00A03642">
            <w:pPr>
              <w:spacing w:after="200" w:line="276" w:lineRule="auto"/>
              <w:rPr>
                <w:rFonts w:ascii="Verdana" w:hAnsi="Verdana"/>
                <w:b/>
                <w:color w:val="000000"/>
                <w:sz w:val="20"/>
                <w:szCs w:val="20"/>
              </w:rPr>
            </w:pPr>
            <w:r w:rsidRPr="00A31EEB">
              <w:rPr>
                <w:rFonts w:ascii="Verdana" w:hAnsi="Verdana"/>
                <w:b/>
                <w:color w:val="000000"/>
                <w:sz w:val="20"/>
                <w:szCs w:val="20"/>
              </w:rPr>
              <w:t>Audit Report</w:t>
            </w:r>
          </w:p>
        </w:tc>
        <w:tc>
          <w:tcPr>
            <w:tcW w:w="3739" w:type="dxa"/>
            <w:tcBorders>
              <w:top w:val="single" w:sz="4" w:space="0" w:color="auto"/>
              <w:left w:val="single" w:sz="4" w:space="0" w:color="auto"/>
              <w:bottom w:val="single" w:sz="4" w:space="0" w:color="auto"/>
              <w:right w:val="single" w:sz="4" w:space="0" w:color="auto"/>
            </w:tcBorders>
            <w:shd w:val="clear" w:color="auto" w:fill="EEECE1"/>
          </w:tcPr>
          <w:p w:rsidR="008E0F82" w:rsidRPr="00A31EEB" w:rsidRDefault="008E0F82" w:rsidP="00A03642">
            <w:pPr>
              <w:spacing w:after="200" w:line="276" w:lineRule="auto"/>
              <w:rPr>
                <w:rFonts w:ascii="Verdana" w:hAnsi="Verdana"/>
                <w:b/>
                <w:color w:val="000000"/>
                <w:sz w:val="20"/>
                <w:szCs w:val="20"/>
              </w:rPr>
            </w:pPr>
            <w:r w:rsidRPr="00A31EEB">
              <w:rPr>
                <w:rFonts w:ascii="Verdana" w:hAnsi="Verdana"/>
                <w:b/>
                <w:color w:val="000000"/>
                <w:sz w:val="20"/>
                <w:szCs w:val="20"/>
              </w:rPr>
              <w:t>Due date</w:t>
            </w:r>
          </w:p>
        </w:tc>
      </w:tr>
      <w:tr w:rsidR="008E0F82" w:rsidRPr="00A31EEB" w:rsidTr="00A03642">
        <w:tc>
          <w:tcPr>
            <w:tcW w:w="5333" w:type="dxa"/>
            <w:tcBorders>
              <w:top w:val="single" w:sz="4" w:space="0" w:color="auto"/>
              <w:left w:val="single" w:sz="4" w:space="0" w:color="auto"/>
              <w:bottom w:val="single" w:sz="4" w:space="0" w:color="auto"/>
              <w:right w:val="single" w:sz="4" w:space="0" w:color="auto"/>
            </w:tcBorders>
          </w:tcPr>
          <w:p w:rsidR="008E0F82" w:rsidRPr="00A31EEB" w:rsidRDefault="008E0F82" w:rsidP="00A03642">
            <w:pPr>
              <w:rPr>
                <w:rFonts w:ascii="Verdana" w:hAnsi="Verdana"/>
                <w:color w:val="000000"/>
                <w:sz w:val="20"/>
                <w:szCs w:val="20"/>
              </w:rPr>
            </w:pPr>
            <w:r w:rsidRPr="00A31EEB">
              <w:rPr>
                <w:rFonts w:ascii="Verdana" w:hAnsi="Verdana"/>
                <w:color w:val="000000"/>
                <w:sz w:val="20"/>
                <w:szCs w:val="20"/>
              </w:rPr>
              <w:t>Audit of PFS include Project Sources and Uses of Funds, Uses of Funds by Project Activities, SOE Withdrawal Schedule, DA Statement, Notes to the Financial Statements, and Reconciliation Statement</w:t>
            </w:r>
          </w:p>
        </w:tc>
        <w:tc>
          <w:tcPr>
            <w:tcW w:w="3739" w:type="dxa"/>
            <w:tcBorders>
              <w:top w:val="single" w:sz="4" w:space="0" w:color="auto"/>
              <w:left w:val="single" w:sz="4" w:space="0" w:color="auto"/>
              <w:bottom w:val="single" w:sz="4" w:space="0" w:color="auto"/>
              <w:right w:val="single" w:sz="4" w:space="0" w:color="auto"/>
            </w:tcBorders>
          </w:tcPr>
          <w:p w:rsidR="008E0F82" w:rsidRPr="00A31EEB" w:rsidRDefault="008E0F82" w:rsidP="00A03642">
            <w:pPr>
              <w:rPr>
                <w:rFonts w:ascii="Verdana" w:hAnsi="Verdana"/>
                <w:color w:val="000000"/>
                <w:sz w:val="20"/>
                <w:szCs w:val="20"/>
              </w:rPr>
            </w:pPr>
            <w:r w:rsidRPr="00A31EEB">
              <w:rPr>
                <w:rFonts w:ascii="Verdana" w:hAnsi="Verdana"/>
                <w:color w:val="000000"/>
                <w:sz w:val="20"/>
                <w:szCs w:val="20"/>
              </w:rPr>
              <w:t>Within 6 months of the end of each fiscal year and at the closing of the project.</w:t>
            </w:r>
          </w:p>
        </w:tc>
      </w:tr>
    </w:tbl>
    <w:p w:rsidR="008E0F82" w:rsidRPr="008F2B55" w:rsidRDefault="008E0F82" w:rsidP="008E0F82">
      <w:pPr>
        <w:rPr>
          <w:rFonts w:ascii="Verdana" w:hAnsi="Verdana"/>
          <w:color w:val="000000"/>
          <w:sz w:val="12"/>
          <w:szCs w:val="12"/>
        </w:rPr>
      </w:pPr>
    </w:p>
    <w:p w:rsidR="008E0F82" w:rsidRPr="00A31EEB" w:rsidRDefault="008E0F82" w:rsidP="008E0F82">
      <w:pPr>
        <w:pStyle w:val="ListParagraph1"/>
        <w:spacing w:after="120"/>
        <w:ind w:left="0"/>
        <w:rPr>
          <w:rFonts w:ascii="Verdana" w:hAnsi="Verdana"/>
          <w:color w:val="000000"/>
          <w:sz w:val="20"/>
          <w:szCs w:val="20"/>
        </w:rPr>
      </w:pPr>
      <w:r w:rsidRPr="00A31EEB">
        <w:rPr>
          <w:rFonts w:ascii="Verdana" w:hAnsi="Verdana"/>
          <w:color w:val="000000"/>
          <w:sz w:val="20"/>
          <w:szCs w:val="20"/>
        </w:rPr>
        <w:t>The audited financial statements will be disclosed to the public in a manner acceptable to the Bank. Following the Bank’s formal receipt of these statements from the borrower, the Bank will make them available to the public in accordance with the World Bank Policy on Access to Information. Audit of annual PFS will be financed from credit proceeds.</w:t>
      </w:r>
    </w:p>
    <w:p w:rsidR="008E0F82" w:rsidRDefault="008E0F82" w:rsidP="008E0F82">
      <w:pPr>
        <w:pStyle w:val="ListParagraph1"/>
        <w:spacing w:after="60"/>
        <w:ind w:left="0"/>
        <w:rPr>
          <w:rFonts w:ascii="Verdana" w:hAnsi="Verdana"/>
          <w:b/>
          <w:color w:val="000000"/>
          <w:sz w:val="20"/>
          <w:szCs w:val="20"/>
        </w:rPr>
      </w:pPr>
      <w:r>
        <w:rPr>
          <w:rFonts w:ascii="Verdana" w:hAnsi="Verdana"/>
          <w:b/>
          <w:color w:val="000000"/>
          <w:sz w:val="20"/>
          <w:szCs w:val="20"/>
        </w:rPr>
        <w:t>Disbursement Methods</w:t>
      </w:r>
    </w:p>
    <w:p w:rsidR="008E0F82" w:rsidRDefault="008E0F82" w:rsidP="008E0F82">
      <w:pPr>
        <w:spacing w:after="60"/>
        <w:rPr>
          <w:rFonts w:ascii="Verdana" w:hAnsi="Verdana"/>
          <w:sz w:val="20"/>
          <w:szCs w:val="20"/>
        </w:rPr>
      </w:pPr>
      <w:r w:rsidRPr="00DD3582">
        <w:rPr>
          <w:rFonts w:ascii="Verdana" w:hAnsi="Verdana"/>
          <w:sz w:val="20"/>
          <w:szCs w:val="20"/>
        </w:rPr>
        <w:t xml:space="preserve">The following </w:t>
      </w:r>
      <w:r>
        <w:rPr>
          <w:rFonts w:ascii="Verdana" w:hAnsi="Verdana"/>
          <w:sz w:val="20"/>
          <w:szCs w:val="20"/>
        </w:rPr>
        <w:t xml:space="preserve">four </w:t>
      </w:r>
      <w:r w:rsidRPr="00DD3582">
        <w:rPr>
          <w:rFonts w:ascii="Verdana" w:hAnsi="Verdana"/>
          <w:sz w:val="20"/>
          <w:szCs w:val="20"/>
        </w:rPr>
        <w:t>Disbursement Methods may be used under the financing:</w:t>
      </w:r>
    </w:p>
    <w:p w:rsidR="008E0F82" w:rsidRPr="00DD3582" w:rsidRDefault="008E0F82" w:rsidP="008E0F82">
      <w:pPr>
        <w:numPr>
          <w:ilvl w:val="0"/>
          <w:numId w:val="1"/>
        </w:numPr>
        <w:ind w:left="709" w:hanging="349"/>
        <w:rPr>
          <w:rFonts w:ascii="Verdana" w:hAnsi="Verdana"/>
          <w:sz w:val="20"/>
          <w:szCs w:val="20"/>
        </w:rPr>
      </w:pPr>
      <w:r w:rsidRPr="00DD3582">
        <w:rPr>
          <w:rFonts w:ascii="Verdana" w:hAnsi="Verdana"/>
          <w:sz w:val="20"/>
          <w:szCs w:val="20"/>
          <w:u w:val="single"/>
        </w:rPr>
        <w:t>Reimbursement:</w:t>
      </w:r>
      <w:r w:rsidRPr="00DD3582">
        <w:rPr>
          <w:rFonts w:ascii="Verdana" w:hAnsi="Verdana"/>
          <w:sz w:val="20"/>
          <w:szCs w:val="20"/>
        </w:rPr>
        <w:t xml:space="preserve"> Payments to the borrower for the cost of project expenditures.</w:t>
      </w:r>
    </w:p>
    <w:p w:rsidR="008E0F82" w:rsidRPr="00DD3582" w:rsidRDefault="008E0F82" w:rsidP="008E0F82">
      <w:pPr>
        <w:ind w:left="709"/>
        <w:rPr>
          <w:rFonts w:ascii="Verdana" w:hAnsi="Verdana"/>
          <w:sz w:val="20"/>
          <w:szCs w:val="20"/>
        </w:rPr>
      </w:pPr>
      <w:r w:rsidRPr="00DD3582">
        <w:rPr>
          <w:rFonts w:ascii="Verdana" w:hAnsi="Verdana"/>
          <w:sz w:val="20"/>
          <w:szCs w:val="20"/>
        </w:rPr>
        <w:t>The borrower provides documentation showing that such expenditures</w:t>
      </w:r>
      <w:r>
        <w:rPr>
          <w:rFonts w:ascii="Verdana" w:hAnsi="Verdana"/>
          <w:sz w:val="20"/>
          <w:szCs w:val="20"/>
        </w:rPr>
        <w:t xml:space="preserve"> </w:t>
      </w:r>
      <w:r w:rsidRPr="00DD3582">
        <w:rPr>
          <w:rFonts w:ascii="Verdana" w:hAnsi="Verdana"/>
          <w:sz w:val="20"/>
          <w:szCs w:val="20"/>
        </w:rPr>
        <w:t>have been incurred and paid from its own resources at the time a request for</w:t>
      </w:r>
    </w:p>
    <w:p w:rsidR="008E0F82" w:rsidRPr="00DD3582" w:rsidRDefault="008E0F82" w:rsidP="008E0F82">
      <w:pPr>
        <w:spacing w:after="60"/>
        <w:ind w:left="709"/>
        <w:rPr>
          <w:rFonts w:ascii="Verdana" w:hAnsi="Verdana"/>
          <w:sz w:val="20"/>
          <w:szCs w:val="20"/>
          <w:lang w:val="en-US"/>
        </w:rPr>
      </w:pPr>
      <w:r w:rsidRPr="00DD3582">
        <w:rPr>
          <w:rFonts w:ascii="Verdana" w:hAnsi="Verdana"/>
          <w:sz w:val="20"/>
          <w:szCs w:val="20"/>
        </w:rPr>
        <w:t>payment is made.</w:t>
      </w:r>
      <w:r>
        <w:rPr>
          <w:rFonts w:ascii="Verdana" w:hAnsi="Verdana"/>
          <w:sz w:val="20"/>
          <w:szCs w:val="20"/>
        </w:rPr>
        <w:t xml:space="preserve"> Needed supporting documents are: </w:t>
      </w:r>
      <w:r w:rsidRPr="00DD3582">
        <w:rPr>
          <w:rFonts w:ascii="Verdana" w:hAnsi="Verdana"/>
          <w:sz w:val="20"/>
          <w:szCs w:val="20"/>
          <w:lang w:val="en-US"/>
        </w:rPr>
        <w:t>Interim unaudited financial report, or statement of</w:t>
      </w:r>
      <w:r>
        <w:rPr>
          <w:rFonts w:ascii="Verdana" w:hAnsi="Verdana"/>
          <w:sz w:val="20"/>
          <w:szCs w:val="20"/>
          <w:lang w:val="en-US"/>
        </w:rPr>
        <w:t xml:space="preserve"> </w:t>
      </w:r>
      <w:r w:rsidRPr="00DD3582">
        <w:rPr>
          <w:rFonts w:ascii="Verdana" w:hAnsi="Verdana"/>
          <w:sz w:val="20"/>
          <w:szCs w:val="20"/>
          <w:lang w:val="en-US"/>
        </w:rPr>
        <w:t>expenditure, or records (e.g., invoices, receipts), or records</w:t>
      </w:r>
      <w:r>
        <w:rPr>
          <w:rFonts w:ascii="Verdana" w:hAnsi="Verdana"/>
          <w:sz w:val="20"/>
          <w:szCs w:val="20"/>
          <w:lang w:val="en-US"/>
        </w:rPr>
        <w:t xml:space="preserve"> </w:t>
      </w:r>
      <w:r w:rsidRPr="00DD3582">
        <w:rPr>
          <w:rFonts w:ascii="Verdana" w:hAnsi="Verdana"/>
          <w:sz w:val="20"/>
          <w:szCs w:val="20"/>
          <w:lang w:val="en-US"/>
        </w:rPr>
        <w:t>required by the Bank for specific expenditures and</w:t>
      </w:r>
      <w:r>
        <w:rPr>
          <w:rFonts w:ascii="Verdana" w:hAnsi="Verdana"/>
          <w:sz w:val="20"/>
          <w:szCs w:val="20"/>
          <w:lang w:val="en-US"/>
        </w:rPr>
        <w:t xml:space="preserve"> </w:t>
      </w:r>
      <w:r w:rsidRPr="00DD3582">
        <w:rPr>
          <w:rFonts w:ascii="Verdana" w:hAnsi="Verdana"/>
          <w:sz w:val="20"/>
          <w:szCs w:val="20"/>
          <w:lang w:val="en-US"/>
        </w:rPr>
        <w:t>statement of expendi</w:t>
      </w:r>
      <w:r>
        <w:rPr>
          <w:rFonts w:ascii="Verdana" w:hAnsi="Verdana"/>
          <w:sz w:val="20"/>
          <w:szCs w:val="20"/>
          <w:lang w:val="en-US"/>
        </w:rPr>
        <w:t>ture for all other expenditures;</w:t>
      </w:r>
    </w:p>
    <w:p w:rsidR="008E0F82" w:rsidRPr="00DD3582" w:rsidRDefault="008E0F82" w:rsidP="008E0F82">
      <w:pPr>
        <w:numPr>
          <w:ilvl w:val="0"/>
          <w:numId w:val="1"/>
        </w:numPr>
        <w:rPr>
          <w:rFonts w:ascii="Verdana" w:hAnsi="Verdana"/>
          <w:sz w:val="20"/>
          <w:szCs w:val="20"/>
        </w:rPr>
      </w:pPr>
      <w:r w:rsidRPr="00DD3582">
        <w:rPr>
          <w:rFonts w:ascii="Verdana" w:hAnsi="Verdana"/>
          <w:sz w:val="20"/>
          <w:szCs w:val="20"/>
          <w:u w:val="single"/>
        </w:rPr>
        <w:t>Advance:</w:t>
      </w:r>
      <w:r w:rsidRPr="00DD3582">
        <w:rPr>
          <w:rFonts w:ascii="Verdana" w:hAnsi="Verdana"/>
          <w:sz w:val="20"/>
          <w:szCs w:val="20"/>
        </w:rPr>
        <w:t xml:space="preserve"> Payments to the borrower for the expected cost of project expenditures.</w:t>
      </w:r>
    </w:p>
    <w:p w:rsidR="008E0F82" w:rsidRPr="00DD3582" w:rsidRDefault="008E0F82" w:rsidP="008E0F82">
      <w:pPr>
        <w:spacing w:after="60"/>
        <w:ind w:left="709"/>
        <w:rPr>
          <w:rFonts w:ascii="Verdana" w:hAnsi="Verdana"/>
          <w:sz w:val="20"/>
          <w:szCs w:val="20"/>
          <w:lang w:val="en-US"/>
        </w:rPr>
      </w:pPr>
      <w:r w:rsidRPr="00DD3582">
        <w:rPr>
          <w:rFonts w:ascii="Verdana" w:hAnsi="Verdana"/>
          <w:sz w:val="20"/>
          <w:szCs w:val="20"/>
        </w:rPr>
        <w:t>The borrower subsequently provides documentation showing that such</w:t>
      </w:r>
      <w:r>
        <w:rPr>
          <w:rFonts w:ascii="Verdana" w:hAnsi="Verdana"/>
          <w:sz w:val="20"/>
          <w:szCs w:val="20"/>
        </w:rPr>
        <w:t xml:space="preserve"> </w:t>
      </w:r>
      <w:r w:rsidRPr="00DD3582">
        <w:rPr>
          <w:rFonts w:ascii="Verdana" w:hAnsi="Verdana"/>
          <w:sz w:val="20"/>
          <w:szCs w:val="20"/>
        </w:rPr>
        <w:t>expenditures have been incurred and paid for from the advance.</w:t>
      </w:r>
      <w:r>
        <w:rPr>
          <w:rFonts w:ascii="Verdana" w:hAnsi="Verdana"/>
          <w:sz w:val="20"/>
          <w:szCs w:val="20"/>
        </w:rPr>
        <w:t xml:space="preserve"> </w:t>
      </w:r>
      <w:r w:rsidRPr="00DD3582">
        <w:rPr>
          <w:rFonts w:ascii="Verdana" w:hAnsi="Verdana"/>
          <w:sz w:val="20"/>
          <w:szCs w:val="20"/>
          <w:lang w:val="en-US"/>
        </w:rPr>
        <w:t>No</w:t>
      </w:r>
      <w:r>
        <w:rPr>
          <w:rFonts w:ascii="Verdana" w:hAnsi="Verdana"/>
          <w:sz w:val="20"/>
          <w:szCs w:val="20"/>
          <w:lang w:val="en-US"/>
        </w:rPr>
        <w:t xml:space="preserve"> </w:t>
      </w:r>
      <w:r w:rsidRPr="00DD3582">
        <w:rPr>
          <w:rFonts w:ascii="Verdana" w:hAnsi="Verdana"/>
          <w:sz w:val="20"/>
          <w:szCs w:val="20"/>
          <w:lang w:val="en-US"/>
        </w:rPr>
        <w:t>documentation is required at the time of the request.</w:t>
      </w:r>
      <w:r>
        <w:rPr>
          <w:rFonts w:ascii="Verdana" w:hAnsi="Verdana"/>
          <w:sz w:val="20"/>
          <w:szCs w:val="20"/>
          <w:lang w:val="en-US"/>
        </w:rPr>
        <w:t xml:space="preserve"> </w:t>
      </w:r>
      <w:r w:rsidRPr="00DD3582">
        <w:rPr>
          <w:rFonts w:ascii="Verdana" w:hAnsi="Verdana"/>
          <w:sz w:val="20"/>
          <w:szCs w:val="20"/>
          <w:lang w:val="en-US"/>
        </w:rPr>
        <w:t>When reporting on the use of advances, required documentation</w:t>
      </w:r>
      <w:r>
        <w:rPr>
          <w:rFonts w:ascii="Verdana" w:hAnsi="Verdana"/>
          <w:sz w:val="20"/>
          <w:szCs w:val="20"/>
          <w:lang w:val="en-US"/>
        </w:rPr>
        <w:t xml:space="preserve"> </w:t>
      </w:r>
      <w:r w:rsidRPr="00DD3582">
        <w:rPr>
          <w:rFonts w:ascii="Verdana" w:hAnsi="Verdana"/>
          <w:sz w:val="20"/>
          <w:szCs w:val="20"/>
          <w:lang w:val="en-US"/>
        </w:rPr>
        <w:t>i</w:t>
      </w:r>
      <w:r>
        <w:rPr>
          <w:rFonts w:ascii="Verdana" w:hAnsi="Verdana"/>
          <w:sz w:val="20"/>
          <w:szCs w:val="20"/>
          <w:lang w:val="en-US"/>
        </w:rPr>
        <w:t>s the same as for reimbursement;</w:t>
      </w:r>
    </w:p>
    <w:p w:rsidR="008E0F82" w:rsidRPr="00DD3582" w:rsidRDefault="008E0F82" w:rsidP="008E0F82">
      <w:pPr>
        <w:numPr>
          <w:ilvl w:val="0"/>
          <w:numId w:val="1"/>
        </w:numPr>
        <w:rPr>
          <w:rFonts w:ascii="Verdana" w:hAnsi="Verdana"/>
          <w:sz w:val="20"/>
          <w:szCs w:val="20"/>
        </w:rPr>
      </w:pPr>
      <w:r w:rsidRPr="00DD3582">
        <w:rPr>
          <w:rFonts w:ascii="Verdana" w:hAnsi="Verdana"/>
          <w:sz w:val="20"/>
          <w:szCs w:val="20"/>
          <w:u w:val="single"/>
        </w:rPr>
        <w:t>Direct payment:</w:t>
      </w:r>
      <w:r w:rsidRPr="00DD3582">
        <w:rPr>
          <w:rFonts w:ascii="Verdana" w:hAnsi="Verdana"/>
          <w:sz w:val="20"/>
          <w:szCs w:val="20"/>
        </w:rPr>
        <w:t xml:space="preserve"> Payments to a third party (e.g., contractor, supplier, consultant)</w:t>
      </w:r>
    </w:p>
    <w:p w:rsidR="008E0F82" w:rsidRPr="00DD3582" w:rsidRDefault="008E0F82" w:rsidP="008E0F82">
      <w:pPr>
        <w:ind w:left="709"/>
        <w:rPr>
          <w:rFonts w:ascii="Verdana" w:hAnsi="Verdana"/>
          <w:sz w:val="20"/>
          <w:szCs w:val="20"/>
        </w:rPr>
      </w:pPr>
      <w:r w:rsidRPr="00DD3582">
        <w:rPr>
          <w:rFonts w:ascii="Verdana" w:hAnsi="Verdana"/>
          <w:sz w:val="20"/>
          <w:szCs w:val="20"/>
        </w:rPr>
        <w:t>for the cost of project expenditures. The borrower provides documentation</w:t>
      </w:r>
    </w:p>
    <w:p w:rsidR="008E0F82" w:rsidRPr="00DD3582" w:rsidRDefault="008E0F82" w:rsidP="008E0F82">
      <w:pPr>
        <w:ind w:left="709"/>
        <w:rPr>
          <w:rFonts w:ascii="Verdana" w:hAnsi="Verdana"/>
          <w:sz w:val="20"/>
          <w:szCs w:val="20"/>
        </w:rPr>
      </w:pPr>
      <w:r w:rsidRPr="00DD3582">
        <w:rPr>
          <w:rFonts w:ascii="Verdana" w:hAnsi="Verdana"/>
          <w:sz w:val="20"/>
          <w:szCs w:val="20"/>
        </w:rPr>
        <w:lastRenderedPageBreak/>
        <w:t>showing that such expenditures have been incurred at the time a request for</w:t>
      </w:r>
    </w:p>
    <w:p w:rsidR="008E0F82" w:rsidRPr="00DD3582" w:rsidRDefault="008E0F82" w:rsidP="008E0F82">
      <w:pPr>
        <w:spacing w:after="60"/>
        <w:ind w:left="709"/>
        <w:rPr>
          <w:rFonts w:ascii="Verdana" w:hAnsi="Verdana"/>
          <w:sz w:val="20"/>
          <w:szCs w:val="20"/>
        </w:rPr>
      </w:pPr>
      <w:r w:rsidRPr="00DD3582">
        <w:rPr>
          <w:rFonts w:ascii="Verdana" w:hAnsi="Verdana"/>
          <w:sz w:val="20"/>
          <w:szCs w:val="20"/>
        </w:rPr>
        <w:t>payment to the third party is made.</w:t>
      </w:r>
      <w:r>
        <w:rPr>
          <w:rFonts w:ascii="Verdana" w:hAnsi="Verdana"/>
          <w:sz w:val="20"/>
          <w:szCs w:val="20"/>
        </w:rPr>
        <w:t xml:space="preserve"> The supporting documents are various records (e.g. invoices, receipts);</w:t>
      </w:r>
    </w:p>
    <w:p w:rsidR="008E0F82" w:rsidRPr="00DD3582" w:rsidRDefault="008E0F82" w:rsidP="008E0F82">
      <w:pPr>
        <w:numPr>
          <w:ilvl w:val="0"/>
          <w:numId w:val="1"/>
        </w:numPr>
        <w:rPr>
          <w:rFonts w:ascii="Verdana" w:hAnsi="Verdana"/>
          <w:sz w:val="20"/>
          <w:szCs w:val="20"/>
        </w:rPr>
      </w:pPr>
      <w:r w:rsidRPr="00DD3582">
        <w:rPr>
          <w:rFonts w:ascii="Verdana" w:hAnsi="Verdana"/>
          <w:sz w:val="20"/>
          <w:szCs w:val="20"/>
          <w:u w:val="single"/>
        </w:rPr>
        <w:t>Special commitment:</w:t>
      </w:r>
      <w:r w:rsidRPr="00DD3582">
        <w:rPr>
          <w:rFonts w:ascii="Verdana" w:hAnsi="Verdana"/>
          <w:sz w:val="20"/>
          <w:szCs w:val="20"/>
        </w:rPr>
        <w:t xml:space="preserve"> Payments to a financial institution for the cost of</w:t>
      </w:r>
    </w:p>
    <w:p w:rsidR="008E0F82" w:rsidRPr="00DD3582" w:rsidRDefault="008E0F82" w:rsidP="008E0F82">
      <w:pPr>
        <w:ind w:left="709"/>
        <w:rPr>
          <w:rFonts w:ascii="Verdana" w:hAnsi="Verdana"/>
          <w:sz w:val="20"/>
          <w:szCs w:val="20"/>
        </w:rPr>
      </w:pPr>
      <w:r w:rsidRPr="00DD3582">
        <w:rPr>
          <w:rFonts w:ascii="Verdana" w:hAnsi="Verdana"/>
          <w:sz w:val="20"/>
          <w:szCs w:val="20"/>
        </w:rPr>
        <w:t>project expenditures covered by a special commitment. A special commitment</w:t>
      </w:r>
    </w:p>
    <w:p w:rsidR="008E0F82" w:rsidRPr="00DD3582" w:rsidRDefault="008E0F82" w:rsidP="008E0F82">
      <w:pPr>
        <w:ind w:left="709"/>
        <w:rPr>
          <w:rFonts w:ascii="Verdana" w:hAnsi="Verdana"/>
          <w:sz w:val="20"/>
          <w:szCs w:val="20"/>
        </w:rPr>
      </w:pPr>
      <w:r w:rsidRPr="00DD3582">
        <w:rPr>
          <w:rFonts w:ascii="Verdana" w:hAnsi="Verdana"/>
          <w:sz w:val="20"/>
          <w:szCs w:val="20"/>
        </w:rPr>
        <w:t>is an irrevocable commitment entered into by the Bank in writing to pay such</w:t>
      </w:r>
    </w:p>
    <w:p w:rsidR="008E0F82" w:rsidRPr="00DD3582" w:rsidRDefault="008E0F82" w:rsidP="008E0F82">
      <w:pPr>
        <w:ind w:left="709"/>
        <w:rPr>
          <w:rFonts w:ascii="Verdana" w:hAnsi="Verdana"/>
          <w:sz w:val="20"/>
          <w:szCs w:val="20"/>
        </w:rPr>
      </w:pPr>
      <w:r w:rsidRPr="00DD3582">
        <w:rPr>
          <w:rFonts w:ascii="Verdana" w:hAnsi="Verdana"/>
          <w:sz w:val="20"/>
          <w:szCs w:val="20"/>
        </w:rPr>
        <w:t>amounts notwithstanding any subsequent suspension or cancellation. The</w:t>
      </w:r>
    </w:p>
    <w:p w:rsidR="008E0F82" w:rsidRPr="00DD3582" w:rsidRDefault="008E0F82" w:rsidP="008E0F82">
      <w:pPr>
        <w:ind w:left="709"/>
        <w:rPr>
          <w:rFonts w:ascii="Verdana" w:hAnsi="Verdana"/>
          <w:sz w:val="20"/>
          <w:szCs w:val="20"/>
        </w:rPr>
      </w:pPr>
      <w:r w:rsidRPr="00DD3582">
        <w:rPr>
          <w:rFonts w:ascii="Verdana" w:hAnsi="Verdana"/>
          <w:sz w:val="20"/>
          <w:szCs w:val="20"/>
        </w:rPr>
        <w:t>financial institution provides confirmation that such expenditures have been</w:t>
      </w:r>
    </w:p>
    <w:p w:rsidR="008E0F82" w:rsidRPr="00DD3582" w:rsidRDefault="008E0F82" w:rsidP="008E0F82">
      <w:pPr>
        <w:ind w:left="709"/>
        <w:rPr>
          <w:rFonts w:ascii="Verdana" w:hAnsi="Verdana"/>
          <w:sz w:val="20"/>
          <w:szCs w:val="20"/>
        </w:rPr>
      </w:pPr>
      <w:r w:rsidRPr="00DD3582">
        <w:rPr>
          <w:rFonts w:ascii="Verdana" w:hAnsi="Verdana"/>
          <w:sz w:val="20"/>
          <w:szCs w:val="20"/>
        </w:rPr>
        <w:t>incurred at the time a request for payment is made.</w:t>
      </w:r>
      <w:r>
        <w:rPr>
          <w:rFonts w:ascii="Verdana" w:hAnsi="Verdana"/>
          <w:sz w:val="20"/>
          <w:szCs w:val="20"/>
        </w:rPr>
        <w:t xml:space="preserve"> The supporting documents required are </w:t>
      </w:r>
      <w:r w:rsidRPr="00DD3582">
        <w:rPr>
          <w:rFonts w:ascii="Verdana" w:hAnsi="Verdana"/>
          <w:sz w:val="20"/>
          <w:szCs w:val="20"/>
        </w:rPr>
        <w:t>Society for Worldwide Interbank Financial Telecommunication</w:t>
      </w:r>
      <w:r>
        <w:rPr>
          <w:rFonts w:ascii="Verdana" w:hAnsi="Verdana"/>
          <w:sz w:val="20"/>
          <w:szCs w:val="20"/>
        </w:rPr>
        <w:t xml:space="preserve"> </w:t>
      </w:r>
      <w:r w:rsidRPr="00DD3582">
        <w:rPr>
          <w:rFonts w:ascii="Verdana" w:hAnsi="Verdana"/>
          <w:sz w:val="20"/>
          <w:szCs w:val="20"/>
        </w:rPr>
        <w:t>(SWIFT) or other advice from the commercial</w:t>
      </w:r>
      <w:r>
        <w:rPr>
          <w:rFonts w:ascii="Verdana" w:hAnsi="Verdana"/>
          <w:sz w:val="20"/>
          <w:szCs w:val="20"/>
        </w:rPr>
        <w:t xml:space="preserve"> </w:t>
      </w:r>
      <w:r w:rsidRPr="00DD3582">
        <w:rPr>
          <w:rFonts w:ascii="Verdana" w:hAnsi="Verdana"/>
          <w:sz w:val="20"/>
          <w:szCs w:val="20"/>
        </w:rPr>
        <w:t>bank confirming that documents have been negotiated</w:t>
      </w:r>
      <w:r>
        <w:rPr>
          <w:rFonts w:ascii="Verdana" w:hAnsi="Verdana"/>
          <w:sz w:val="20"/>
          <w:szCs w:val="20"/>
        </w:rPr>
        <w:t xml:space="preserve"> </w:t>
      </w:r>
      <w:r w:rsidRPr="00DD3582">
        <w:rPr>
          <w:rFonts w:ascii="Verdana" w:hAnsi="Verdana"/>
          <w:sz w:val="20"/>
          <w:szCs w:val="20"/>
        </w:rPr>
        <w:t>(i.e., documents have been received and are acceptable)</w:t>
      </w:r>
    </w:p>
    <w:p w:rsidR="008E0F82" w:rsidRPr="00DD3582" w:rsidRDefault="008E0F82" w:rsidP="008E0F82">
      <w:pPr>
        <w:spacing w:after="120"/>
        <w:ind w:left="709"/>
        <w:rPr>
          <w:rFonts w:ascii="Verdana" w:hAnsi="Verdana"/>
          <w:sz w:val="20"/>
          <w:szCs w:val="20"/>
        </w:rPr>
      </w:pPr>
      <w:r w:rsidRPr="00DD3582">
        <w:rPr>
          <w:rFonts w:ascii="Verdana" w:hAnsi="Verdana"/>
          <w:sz w:val="20"/>
          <w:szCs w:val="20"/>
        </w:rPr>
        <w:t>and that payment has been made or is due and will be</w:t>
      </w:r>
      <w:r>
        <w:rPr>
          <w:rFonts w:ascii="Verdana" w:hAnsi="Verdana"/>
          <w:sz w:val="20"/>
          <w:szCs w:val="20"/>
        </w:rPr>
        <w:t xml:space="preserve"> </w:t>
      </w:r>
      <w:r w:rsidRPr="00DD3582">
        <w:rPr>
          <w:rFonts w:ascii="Verdana" w:hAnsi="Verdana"/>
          <w:sz w:val="20"/>
          <w:szCs w:val="20"/>
        </w:rPr>
        <w:t>made promptly to the beneficiary covered by the special</w:t>
      </w:r>
      <w:r>
        <w:rPr>
          <w:rFonts w:ascii="Verdana" w:hAnsi="Verdana"/>
          <w:sz w:val="20"/>
          <w:szCs w:val="20"/>
        </w:rPr>
        <w:t xml:space="preserve"> </w:t>
      </w:r>
      <w:r w:rsidRPr="00DD3582">
        <w:rPr>
          <w:rFonts w:ascii="Verdana" w:hAnsi="Verdana"/>
          <w:sz w:val="20"/>
          <w:szCs w:val="20"/>
        </w:rPr>
        <w:t>commitment.</w:t>
      </w:r>
    </w:p>
    <w:p w:rsidR="008E0F82" w:rsidRPr="00A31EEB" w:rsidRDefault="008E0F82" w:rsidP="008E0F82">
      <w:pPr>
        <w:pStyle w:val="ListParagraph1"/>
        <w:spacing w:after="120"/>
        <w:ind w:left="0"/>
        <w:rPr>
          <w:rFonts w:ascii="Verdana" w:hAnsi="Verdana"/>
          <w:i/>
          <w:color w:val="000000"/>
          <w:sz w:val="20"/>
          <w:szCs w:val="20"/>
        </w:rPr>
      </w:pPr>
      <w:r w:rsidRPr="00A31EEB">
        <w:rPr>
          <w:rFonts w:ascii="Verdana" w:hAnsi="Verdana"/>
          <w:color w:val="000000"/>
          <w:sz w:val="20"/>
          <w:szCs w:val="20"/>
        </w:rPr>
        <w:t>Project funds will flow from the World Bank following t</w:t>
      </w:r>
      <w:r>
        <w:rPr>
          <w:rFonts w:ascii="Verdana" w:hAnsi="Verdana"/>
          <w:color w:val="000000"/>
          <w:sz w:val="20"/>
          <w:szCs w:val="20"/>
        </w:rPr>
        <w:t>he current general practice:</w:t>
      </w:r>
      <w:r w:rsidRPr="00A31EEB">
        <w:rPr>
          <w:rFonts w:ascii="Verdana" w:hAnsi="Verdana"/>
          <w:color w:val="000000"/>
          <w:sz w:val="20"/>
          <w:szCs w:val="20"/>
        </w:rPr>
        <w:t xml:space="preserve"> via a separate Designated Account (DA) held by the implementing agency at a commercial </w:t>
      </w:r>
      <w:proofErr w:type="gramStart"/>
      <w:r w:rsidRPr="00A31EEB">
        <w:rPr>
          <w:rFonts w:ascii="Verdana" w:hAnsi="Verdana"/>
          <w:color w:val="000000"/>
          <w:sz w:val="20"/>
          <w:szCs w:val="20"/>
        </w:rPr>
        <w:t xml:space="preserve">bank </w:t>
      </w:r>
      <w:r>
        <w:rPr>
          <w:rFonts w:ascii="Verdana" w:hAnsi="Verdana"/>
          <w:color w:val="000000"/>
          <w:sz w:val="20"/>
          <w:szCs w:val="20"/>
        </w:rPr>
        <w:t xml:space="preserve"> </w:t>
      </w:r>
      <w:r w:rsidRPr="00A31EEB">
        <w:rPr>
          <w:rFonts w:ascii="Verdana" w:hAnsi="Verdana"/>
          <w:color w:val="000000"/>
          <w:sz w:val="20"/>
          <w:szCs w:val="20"/>
        </w:rPr>
        <w:t>acceptable</w:t>
      </w:r>
      <w:proofErr w:type="gramEnd"/>
      <w:r w:rsidRPr="00A31EEB">
        <w:rPr>
          <w:rFonts w:ascii="Verdana" w:hAnsi="Verdana"/>
          <w:color w:val="000000"/>
          <w:sz w:val="20"/>
          <w:szCs w:val="20"/>
        </w:rPr>
        <w:t xml:space="preserve"> to the World Bank that will be replenished on the basis of </w:t>
      </w:r>
      <w:r>
        <w:rPr>
          <w:rFonts w:ascii="Verdana" w:hAnsi="Verdana"/>
          <w:color w:val="000000"/>
          <w:sz w:val="20"/>
          <w:szCs w:val="20"/>
        </w:rPr>
        <w:t>the mentioned disbursement procedures</w:t>
      </w:r>
      <w:r w:rsidRPr="00A31EEB">
        <w:rPr>
          <w:rFonts w:ascii="Verdana" w:hAnsi="Verdana"/>
          <w:color w:val="000000"/>
          <w:sz w:val="20"/>
          <w:szCs w:val="20"/>
        </w:rPr>
        <w:t>. Details o</w:t>
      </w:r>
      <w:r>
        <w:rPr>
          <w:rFonts w:ascii="Verdana" w:hAnsi="Verdana"/>
          <w:color w:val="000000"/>
          <w:sz w:val="20"/>
          <w:szCs w:val="20"/>
        </w:rPr>
        <w:t>n the ceiling of the DAs are</w:t>
      </w:r>
      <w:r w:rsidRPr="00A31EEB">
        <w:rPr>
          <w:rFonts w:ascii="Verdana" w:hAnsi="Verdana"/>
          <w:color w:val="000000"/>
          <w:sz w:val="20"/>
          <w:szCs w:val="20"/>
        </w:rPr>
        <w:t xml:space="preserve"> provided in the Disbursement Letter. Withdrawal applications for the replenishments of the DA will be sent to the World Bank at least on a quarterly basis.</w:t>
      </w:r>
    </w:p>
    <w:sectPr w:rsidR="008E0F82" w:rsidRPr="00A31EE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441" w:rsidRDefault="003A3441" w:rsidP="00F70AC7">
      <w:r>
        <w:separator/>
      </w:r>
    </w:p>
  </w:endnote>
  <w:endnote w:type="continuationSeparator" w:id="0">
    <w:p w:rsidR="003A3441" w:rsidRDefault="003A3441" w:rsidP="00F7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441" w:rsidRDefault="003A3441" w:rsidP="00F70AC7">
      <w:r>
        <w:separator/>
      </w:r>
    </w:p>
  </w:footnote>
  <w:footnote w:type="continuationSeparator" w:id="0">
    <w:p w:rsidR="003A3441" w:rsidRDefault="003A3441" w:rsidP="00F70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3F5E"/>
    <w:multiLevelType w:val="hybridMultilevel"/>
    <w:tmpl w:val="8E26F466"/>
    <w:lvl w:ilvl="0" w:tplc="7AD2511E">
      <w:start w:val="7"/>
      <w:numFmt w:val="upperRoman"/>
      <w:lvlText w:val="%1."/>
      <w:lvlJc w:val="righ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94F6D7D"/>
    <w:multiLevelType w:val="multilevel"/>
    <w:tmpl w:val="3466BDD2"/>
    <w:lvl w:ilvl="0">
      <w:start w:val="1"/>
      <w:numFmt w:val="upperRoman"/>
      <w:lvlText w:val="%1."/>
      <w:lvlJc w:val="left"/>
      <w:pPr>
        <w:ind w:left="731" w:hanging="720"/>
      </w:pPr>
      <w:rPr>
        <w:rFonts w:hint="default"/>
      </w:rPr>
    </w:lvl>
    <w:lvl w:ilvl="1">
      <w:start w:val="1"/>
      <w:numFmt w:val="decimal"/>
      <w:lvlText w:val="%2."/>
      <w:lvlJc w:val="left"/>
      <w:pPr>
        <w:ind w:left="742" w:hanging="60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 w15:restartNumberingAfterBreak="0">
    <w:nsid w:val="669B1A36"/>
    <w:multiLevelType w:val="hybridMultilevel"/>
    <w:tmpl w:val="A8AC7868"/>
    <w:lvl w:ilvl="0" w:tplc="38AC65B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82"/>
    <w:rsid w:val="000603FC"/>
    <w:rsid w:val="00123AA8"/>
    <w:rsid w:val="002C00E8"/>
    <w:rsid w:val="003A3441"/>
    <w:rsid w:val="004538A2"/>
    <w:rsid w:val="004955BB"/>
    <w:rsid w:val="004F5134"/>
    <w:rsid w:val="0050307D"/>
    <w:rsid w:val="00546B7E"/>
    <w:rsid w:val="005A3C7D"/>
    <w:rsid w:val="00642672"/>
    <w:rsid w:val="006B2A24"/>
    <w:rsid w:val="007929A9"/>
    <w:rsid w:val="007B61DD"/>
    <w:rsid w:val="008A2B47"/>
    <w:rsid w:val="008E0F82"/>
    <w:rsid w:val="00933463"/>
    <w:rsid w:val="009459D7"/>
    <w:rsid w:val="009662B3"/>
    <w:rsid w:val="009850F9"/>
    <w:rsid w:val="0098535E"/>
    <w:rsid w:val="009B2A33"/>
    <w:rsid w:val="009C583D"/>
    <w:rsid w:val="00A21761"/>
    <w:rsid w:val="00A35F4E"/>
    <w:rsid w:val="00A516B4"/>
    <w:rsid w:val="00A7071B"/>
    <w:rsid w:val="00AF7841"/>
    <w:rsid w:val="00AF7980"/>
    <w:rsid w:val="00B02B6C"/>
    <w:rsid w:val="00B65CA8"/>
    <w:rsid w:val="00B94D9A"/>
    <w:rsid w:val="00BF0B2B"/>
    <w:rsid w:val="00BF69C2"/>
    <w:rsid w:val="00BF7DD8"/>
    <w:rsid w:val="00C40BE9"/>
    <w:rsid w:val="00CE68AC"/>
    <w:rsid w:val="00D14AD5"/>
    <w:rsid w:val="00D30A06"/>
    <w:rsid w:val="00D61D78"/>
    <w:rsid w:val="00D947D7"/>
    <w:rsid w:val="00DB0A90"/>
    <w:rsid w:val="00F04347"/>
    <w:rsid w:val="00F160C9"/>
    <w:rsid w:val="00F70AC7"/>
    <w:rsid w:val="00F95E66"/>
    <w:rsid w:val="00F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5907C6-C9FE-4292-A9AA-064E294E0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0F82"/>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uiPriority w:val="99"/>
    <w:qFormat/>
    <w:rsid w:val="008E0F82"/>
    <w:pPr>
      <w:keepNext/>
      <w:jc w:val="center"/>
      <w:outlineLvl w:val="0"/>
    </w:pPr>
    <w:rPr>
      <w:b/>
      <w:bCs/>
    </w:rPr>
  </w:style>
  <w:style w:type="paragraph" w:styleId="Heading2">
    <w:name w:val="heading 2"/>
    <w:basedOn w:val="Normal"/>
    <w:next w:val="Normal"/>
    <w:link w:val="Heading2Char"/>
    <w:uiPriority w:val="99"/>
    <w:qFormat/>
    <w:rsid w:val="008E0F82"/>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E0F82"/>
    <w:rPr>
      <w:rFonts w:ascii="Times New Roman" w:eastAsia="Times New Roman" w:hAnsi="Times New Roman" w:cs="Times New Roman"/>
      <w:b/>
      <w:bCs/>
      <w:sz w:val="24"/>
      <w:szCs w:val="24"/>
      <w:lang w:val="hr-HR" w:eastAsia="hr-HR"/>
    </w:rPr>
  </w:style>
  <w:style w:type="character" w:customStyle="1" w:styleId="Heading2Char">
    <w:name w:val="Heading 2 Char"/>
    <w:basedOn w:val="DefaultParagraphFont"/>
    <w:link w:val="Heading2"/>
    <w:uiPriority w:val="99"/>
    <w:rsid w:val="008E0F82"/>
    <w:rPr>
      <w:rFonts w:ascii="Times New Roman" w:eastAsia="Times New Roman" w:hAnsi="Times New Roman" w:cs="Times New Roman"/>
      <w:b/>
      <w:bCs/>
      <w:sz w:val="24"/>
      <w:szCs w:val="24"/>
      <w:lang w:val="hr-HR" w:eastAsia="hr-HR"/>
    </w:rPr>
  </w:style>
  <w:style w:type="paragraph" w:customStyle="1" w:styleId="ListParagraph1">
    <w:name w:val="List Paragraph1"/>
    <w:aliases w:val="References,body bullets,Numbered List Paragraph,List Paragraph (numbered (a)),List Paragraph nowy,Liste 1,WB List Paragraph,Ha,Dot pt,F5 List Paragraph,No Spacing1,List Paragraph Char Char Char,Indicator Text,Абзац списка1"/>
    <w:basedOn w:val="Normal"/>
    <w:link w:val="ListstyckeChar"/>
    <w:uiPriority w:val="1"/>
    <w:qFormat/>
    <w:rsid w:val="008E0F82"/>
    <w:pPr>
      <w:ind w:left="720"/>
    </w:pPr>
    <w:rPr>
      <w:lang w:val="en-US" w:eastAsia="en-US"/>
    </w:rPr>
  </w:style>
  <w:style w:type="character" w:customStyle="1" w:styleId="ListstyckeChar">
    <w:name w:val="Liststycke Char"/>
    <w:aliases w:val="References Char,body bullets Char,Numbered List Paragraph Char,List Paragraph (numbered (a)) Char,List Paragraph nowy Char,Liste 1 Char,WB List Paragraph Char,List Paragraph1 Char,Ha Char,Dot pt Char,F5 List Paragraph Char"/>
    <w:link w:val="ListParagraph1"/>
    <w:uiPriority w:val="1"/>
    <w:qFormat/>
    <w:locked/>
    <w:rsid w:val="008E0F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1781</Words>
  <Characters>10154</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
    </vt:vector>
  </TitlesOfParts>
  <Company>Lantmäteriet</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Zetterquist Fredrik</dc:creator>
  <cp:keywords/>
  <dc:description/>
  <cp:lastModifiedBy>Djamshid Iriskulov</cp:lastModifiedBy>
  <cp:revision>3</cp:revision>
  <dcterms:created xsi:type="dcterms:W3CDTF">2016-11-28T14:59:00Z</dcterms:created>
  <dcterms:modified xsi:type="dcterms:W3CDTF">2020-06-03T14:14:00Z</dcterms:modified>
</cp:coreProperties>
</file>